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662"/>
        <w:gridCol w:w="1115"/>
        <w:gridCol w:w="4385"/>
      </w:tblGrid>
      <w:tr w:rsidR="00682F4C" w:rsidRPr="00682F4C" w:rsidTr="00682F4C">
        <w:trPr>
          <w:tblCellSpacing w:w="15" w:type="dxa"/>
        </w:trPr>
        <w:tc>
          <w:tcPr>
            <w:tcW w:w="2000" w:type="pct"/>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b/>
                <w:bCs/>
                <w:sz w:val="24"/>
                <w:szCs w:val="24"/>
              </w:rPr>
              <w:t>CHÍNH PHỦ</w:t>
            </w:r>
          </w:p>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sz w:val="24"/>
                <w:szCs w:val="24"/>
              </w:rPr>
              <w:t>Số: 45/2013/NĐ-CP</w:t>
            </w:r>
          </w:p>
        </w:tc>
        <w:tc>
          <w:tcPr>
            <w:tcW w:w="600" w:type="pct"/>
            <w:vAlign w:val="center"/>
            <w:hideMark/>
          </w:tcPr>
          <w:p w:rsidR="00682F4C" w:rsidRPr="00682F4C" w:rsidRDefault="00682F4C" w:rsidP="00682F4C">
            <w:pPr>
              <w:spacing w:before="0" w:after="0"/>
              <w:rPr>
                <w:rFonts w:ascii="Times New Roman" w:eastAsia="Times New Roman" w:hAnsi="Times New Roman" w:cs="Times New Roman"/>
                <w:sz w:val="24"/>
                <w:szCs w:val="24"/>
              </w:rPr>
            </w:pPr>
          </w:p>
        </w:tc>
        <w:tc>
          <w:tcPr>
            <w:tcW w:w="2400" w:type="pct"/>
            <w:hideMark/>
          </w:tcPr>
          <w:p w:rsidR="00682F4C" w:rsidRPr="00682F4C" w:rsidRDefault="00682F4C" w:rsidP="00682F4C">
            <w:pPr>
              <w:spacing w:before="0" w:after="0"/>
              <w:rPr>
                <w:rFonts w:ascii="Times New Roman" w:eastAsia="Times New Roman" w:hAnsi="Times New Roman" w:cs="Times New Roman"/>
                <w:sz w:val="24"/>
                <w:szCs w:val="24"/>
              </w:rPr>
            </w:pPr>
            <w:r w:rsidRPr="00682F4C">
              <w:rPr>
                <w:rFonts w:ascii="Times New Roman" w:eastAsia="Times New Roman" w:hAnsi="Times New Roman" w:cs="Times New Roman"/>
                <w:b/>
                <w:bCs/>
                <w:sz w:val="24"/>
                <w:szCs w:val="24"/>
              </w:rPr>
              <w:t xml:space="preserve">CỘNG HOÀ XÃ HỘI CHỦ NGHĨA </w:t>
            </w:r>
            <w:r>
              <w:rPr>
                <w:rFonts w:ascii="Times New Roman" w:eastAsia="Times New Roman" w:hAnsi="Times New Roman" w:cs="Times New Roman"/>
                <w:b/>
                <w:bCs/>
                <w:sz w:val="24"/>
                <w:szCs w:val="24"/>
              </w:rPr>
              <w:t>V</w:t>
            </w:r>
            <w:r w:rsidRPr="00682F4C">
              <w:rPr>
                <w:rFonts w:ascii="Times New Roman" w:eastAsia="Times New Roman" w:hAnsi="Times New Roman" w:cs="Times New Roman"/>
                <w:b/>
                <w:bCs/>
                <w:sz w:val="24"/>
                <w:szCs w:val="24"/>
              </w:rPr>
              <w:t>IỆT NAM</w:t>
            </w:r>
          </w:p>
          <w:p w:rsid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b/>
                <w:bCs/>
                <w:sz w:val="24"/>
                <w:szCs w:val="24"/>
              </w:rPr>
              <w:t>Độc lập - Tự do - Hạnh phúc</w:t>
            </w:r>
          </w:p>
          <w:p w:rsidR="00682F4C" w:rsidRPr="00682F4C" w:rsidRDefault="00682F4C" w:rsidP="00682F4C">
            <w:pPr>
              <w:spacing w:before="0"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Hà Nội, ngày 10 tháng 05 năm  </w:t>
            </w:r>
            <w:r w:rsidRPr="00682F4C">
              <w:rPr>
                <w:rFonts w:ascii="Times New Roman" w:eastAsia="Times New Roman" w:hAnsi="Times New Roman" w:cs="Times New Roman"/>
                <w:i/>
                <w:iCs/>
                <w:sz w:val="24"/>
                <w:szCs w:val="24"/>
              </w:rPr>
              <w:t>2013</w:t>
            </w:r>
            <w:r w:rsidRPr="00682F4C">
              <w:rPr>
                <w:rFonts w:ascii="Times New Roman" w:eastAsia="Times New Roman" w:hAnsi="Times New Roman" w:cs="Times New Roman"/>
                <w:sz w:val="24"/>
                <w:szCs w:val="24"/>
              </w:rPr>
              <w:t>                          </w:t>
            </w:r>
          </w:p>
        </w:tc>
      </w:tr>
      <w:tr w:rsidR="00682F4C" w:rsidRPr="00682F4C" w:rsidTr="00682F4C">
        <w:trPr>
          <w:tblCellSpacing w:w="15" w:type="dxa"/>
        </w:trPr>
        <w:tc>
          <w:tcPr>
            <w:tcW w:w="0" w:type="auto"/>
            <w:gridSpan w:val="3"/>
            <w:vAlign w:val="center"/>
            <w:hideMark/>
          </w:tcPr>
          <w:p w:rsidR="00682F4C" w:rsidRPr="00682F4C" w:rsidRDefault="00682F4C" w:rsidP="00682F4C">
            <w:pPr>
              <w:spacing w:before="0" w:after="0"/>
              <w:rPr>
                <w:rFonts w:ascii="Times New Roman" w:eastAsia="Times New Roman" w:hAnsi="Times New Roman" w:cs="Times New Roman"/>
                <w:sz w:val="24"/>
                <w:szCs w:val="24"/>
              </w:rPr>
            </w:pPr>
          </w:p>
        </w:tc>
      </w:tr>
      <w:tr w:rsidR="00682F4C" w:rsidRPr="00682F4C" w:rsidTr="00682F4C">
        <w:trPr>
          <w:tblCellSpacing w:w="15" w:type="dxa"/>
        </w:trPr>
        <w:tc>
          <w:tcPr>
            <w:tcW w:w="0" w:type="auto"/>
            <w:gridSpan w:val="3"/>
            <w:vAlign w:val="center"/>
            <w:hideMark/>
          </w:tcPr>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NGHỊ ĐỊNH</w:t>
            </w:r>
          </w:p>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Quy định chi tiết một số điều của bộ luật lao động về thời giờ làm việc, </w:t>
            </w:r>
          </w:p>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thời giờ nghỉ ngơi và an toàn lao động, vệ sinh lao động</w:t>
            </w:r>
          </w:p>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Arial" w:eastAsia="Times New Roman" w:hAnsi="Arial" w:cs="Arial"/>
                <w:sz w:val="20"/>
                <w:szCs w:val="20"/>
              </w:rPr>
              <w:t>_______________________</w:t>
            </w:r>
          </w:p>
          <w:p w:rsidR="00682F4C" w:rsidRPr="00682F4C" w:rsidRDefault="00682F4C" w:rsidP="00682F4C">
            <w:pPr>
              <w:spacing w:before="0" w:after="0"/>
              <w:rPr>
                <w:rFonts w:ascii="Times New Roman" w:eastAsia="Times New Roman" w:hAnsi="Times New Roman" w:cs="Times New Roman"/>
                <w:sz w:val="24"/>
                <w:szCs w:val="24"/>
              </w:rPr>
            </w:pPr>
            <w:r w:rsidRPr="00682F4C">
              <w:rPr>
                <w:rFonts w:ascii="Arial" w:eastAsia="Times New Roman" w:hAnsi="Arial" w:cs="Arial"/>
                <w:b/>
                <w:bCs/>
                <w:sz w:val="20"/>
                <w:szCs w:val="20"/>
              </w:rPr>
              <w:t> </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i/>
                <w:iCs/>
                <w:sz w:val="20"/>
                <w:szCs w:val="20"/>
              </w:rPr>
              <w:t>Căn cứ Luật Tổ chức Chính phủ ngày 25 tháng 12 năm 2001;</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i/>
                <w:iCs/>
                <w:sz w:val="20"/>
                <w:szCs w:val="20"/>
              </w:rPr>
              <w:t>Căn cứ Bộ luật Lao động ngày 18 tháng 6 năm 2012;</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i/>
                <w:iCs/>
                <w:sz w:val="20"/>
                <w:szCs w:val="20"/>
              </w:rPr>
              <w:t>Theo đề nghị của Bộ trưởng Bộ Lao động - Thương binh và Xã hội;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i/>
                <w:iCs/>
                <w:sz w:val="20"/>
                <w:szCs w:val="20"/>
              </w:rPr>
              <w:t>Chính phủ quy định chi tiết một số điều của Bộ luật lao động về thời giờ làm việc, thời giờ nghỉ ngơi và an toàn lao động, vệ sinh lao động,</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Chương </w:t>
            </w:r>
            <w:bookmarkStart w:id="0" w:name="Chuong_I"/>
            <w:bookmarkEnd w:id="0"/>
            <w:r w:rsidRPr="00682F4C">
              <w:rPr>
                <w:rFonts w:ascii="Arial" w:eastAsia="Times New Roman" w:hAnsi="Arial" w:cs="Arial"/>
                <w:b/>
                <w:bCs/>
                <w:sz w:val="20"/>
                <w:szCs w:val="20"/>
              </w:rPr>
              <w:t>I</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PHẠM VI VÀ ĐỐI TƯỢNG ÁP DỤNG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 w:name="Dieu_1"/>
            <w:bookmarkEnd w:id="1"/>
            <w:r w:rsidRPr="00682F4C">
              <w:rPr>
                <w:rFonts w:ascii="Arial" w:eastAsia="Times New Roman" w:hAnsi="Arial" w:cs="Arial"/>
                <w:b/>
                <w:bCs/>
                <w:sz w:val="20"/>
                <w:szCs w:val="20"/>
              </w:rPr>
              <w:t>1. Phạm vi điều chỉnh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Nghị định này quy định chi tiết một số điều của Bộ luật lao động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 w:name="Dieu_2"/>
            <w:bookmarkEnd w:id="2"/>
            <w:r w:rsidRPr="00682F4C">
              <w:rPr>
                <w:rFonts w:ascii="Arial" w:eastAsia="Times New Roman" w:hAnsi="Arial" w:cs="Arial"/>
                <w:b/>
                <w:bCs/>
                <w:sz w:val="20"/>
                <w:szCs w:val="20"/>
              </w:rPr>
              <w:t>2. Đối tượng áp dụng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Các quy định về thời giờ làm việc, thời giờ nghỉ ngơi tại Nghị định này được áp dụng đối với các đối tượng quy định tại Điều 2 của Bộ luật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Các quy định về an toàn lao động, vệ sinh lao động tại Nghị định này được áp dụng đối với các đối tượng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Người lao động Việt Nam; người lao động nước ngoài làm việc tại Việt Nam; người học nghề, tập nghề để làm việc cho người sử dụng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Doanh nghiệp, cơ quan, tổ chức, hợp tác xã, hộ gia đình; cá nhân có liên quan.</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Chương </w:t>
            </w:r>
            <w:bookmarkStart w:id="3" w:name="Chuong_II"/>
            <w:bookmarkEnd w:id="3"/>
            <w:r w:rsidRPr="00682F4C">
              <w:rPr>
                <w:rFonts w:ascii="Arial" w:eastAsia="Times New Roman" w:hAnsi="Arial" w:cs="Arial"/>
                <w:b/>
                <w:bCs/>
                <w:sz w:val="20"/>
                <w:szCs w:val="20"/>
              </w:rPr>
              <w:t>II</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THỜI GIỜ LÀM VIỆC, THỜI GIỜ NGHỈ NGƠI</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Mục 1</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THỜI GIỜ LÀM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4" w:name="Dieu_3"/>
            <w:bookmarkEnd w:id="4"/>
            <w:r w:rsidRPr="00682F4C">
              <w:rPr>
                <w:rFonts w:ascii="Arial" w:eastAsia="Times New Roman" w:hAnsi="Arial" w:cs="Arial"/>
                <w:b/>
                <w:bCs/>
                <w:sz w:val="20"/>
                <w:szCs w:val="20"/>
              </w:rPr>
              <w:t>3. Thời giờ được tính vào thời giờ làm việc được hưởng lương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Nghỉ trong giờ làm việc theo quy định tại Điều 5 Nghị định này.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Nghỉ giải lao theo tính chất của công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Nghỉ cần thiết trong quá trình lao động đã được tính trong định mức lao động cho nhu cầu sinh lý tự nhiên của con người.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Thời giờ nghỉ mỗi ngày 60 phút đối với lao động nữ nuôi con dưới 12 tháng tuổi.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5. Nghỉ mỗi ngày 30 phút đối với lao động nữ trong thời gian hành kinh.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6. Thời giờ phải ngừng việc không do lỗi của người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7. Thời giờ học tập, huấn luyện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8. Thời giờ hội họp, học tập, tập huấn do yêu cầu của người sử dụng lao động hoặc được người sử dụng lao động đồng ý.</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9. Thời giờ hội họp, học tập, tập huấn do công đoàn cấp trên triệu tập cán bộ công đoàn không chuyên trách theo quy định của pháp luật về công đoàn.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lastRenderedPageBreak/>
              <w:t>10. Thời giờ làm việc được rút ngắn mỗi ngày ít nhất 01 giờ đối với người lao động cao tuổi trong năm cuối cùng trước khi nghỉ hưu.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5" w:name="Dieu_4"/>
            <w:bookmarkEnd w:id="5"/>
            <w:r w:rsidRPr="00682F4C">
              <w:rPr>
                <w:rFonts w:ascii="Arial" w:eastAsia="Times New Roman" w:hAnsi="Arial" w:cs="Arial"/>
                <w:b/>
                <w:bCs/>
                <w:sz w:val="20"/>
                <w:szCs w:val="20"/>
              </w:rPr>
              <w:t>4. Làm thêm giờ</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Số giờ làm thêm trong ngày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Không quá 50% số giờ làm việc bình thường trong 01 ngày; khi áp dụng quy định làm việc theo tuần thì tổng số giờ làm việc bình thường và số giờ làm thêm không quá 12 giờ trong 01 ngày;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Không quá 12 giờ trong 01 ngày khi làm thêm vào ngày nghỉ lễ, tết và ngày nghỉ hằng tuần.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Việc tổ chức làm thêm từ trên 200 giờ đến 300 giờ trong một năm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Các trường hợp sau đây được tổ chức làm thêm: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Sản xuất, gia công xuất khẩu sản phẩm là hàng dệt, may, da, giày, chế biến nông, lâm, thủy sản;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Sản xuất, cung cấp điện, viễn thông, lọc dầu; cấp, thoát nước;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Các trường hợp khác phải giải quyết công việc cấp bách, không thể trì hoãn.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Thời gian nghỉ bù theo Điểm c Khoản 2 Điều 106 của Bộ luật lao động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Sau mỗi đợt làm thêm tối đa 07 ngày liên tục trong tháng, người sử dụng lao động phải bố trí để người lao động nghỉ bù số thời gian đã không được nghỉ;</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Trường hợp không bố trí nghỉ bù đủ số thời gian thì phải trả lương làm thêm giờ theo quy định tại Điều 97 của Bộ luật lao động.</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Mục 2</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THỜI GIỜ NGHỈ NGƠI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6" w:name="Dieu_5"/>
            <w:bookmarkEnd w:id="6"/>
            <w:r w:rsidRPr="00682F4C">
              <w:rPr>
                <w:rFonts w:ascii="Arial" w:eastAsia="Times New Roman" w:hAnsi="Arial" w:cs="Arial"/>
                <w:b/>
                <w:bCs/>
                <w:sz w:val="20"/>
                <w:szCs w:val="20"/>
              </w:rPr>
              <w:t>5. Nghỉ trong giờ làm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Thời gian nghỉ giữa giờ làm việc quy định tại Khoản 1 và Khoản 2 Điều 108 của Bộ luật lao động được coi là thời giờ làm việc áp dụng trong ca liên tục 08 giờ trong điều kiện bình thường hoặc 06 giờ trong trường hợp được rút ngắn. Thời điểm nghỉ cụ thể do người sử dụng lao động quyết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Ngoài thời giờ nghỉ ngơi trong ca làm việc bình thường được quy định tại Khoản 1 Điều này, người lao động làm việc trong ngày từ 10 giờ trở lên kể cả số giờ làm thêm thì được nghỉ thêm ít nhất 30 phút tính vào giờ làm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7" w:name="Dieu_6"/>
            <w:bookmarkEnd w:id="7"/>
            <w:r w:rsidRPr="00682F4C">
              <w:rPr>
                <w:rFonts w:ascii="Arial" w:eastAsia="Times New Roman" w:hAnsi="Arial" w:cs="Arial"/>
                <w:b/>
                <w:bCs/>
                <w:sz w:val="20"/>
                <w:szCs w:val="20"/>
              </w:rPr>
              <w:t>6. Thời gian được coi là thời gian làm việc của người lao động để tính số ngày nghỉ hằng năm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Thời gian học nghề, tập nghề để làm việc cho người sử dụng lao động theo cam kết trong hợp đồng học nghề, tập nghề.</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Thời gian thử việc theo hợp đồng lao động sau đó làm việc cho người sử dụng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Thời gian nghỉ việc riêng có hưởng lương theo Khoản 1 Điều 116 của Bộ luật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Thời gian nghỉ việc không hưởng lương nếu được người sử dụng lao động đồng ý nhưng cộng dồn không quá 01 tháng.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5. Thời gian nghỉ do tai nạn lao động, bệnh nghề nghiệp nhưng cộng dồn không quá 6 tháng.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6. Thời gian nghỉ do ốm đau nhưng cộng dồn không quá 02 tháng.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7. Thời gian nghỉ hưởng chế độ thai sản theo quy định của pháp luật về bảo hiểm xã hội.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8. Thời gian nghỉ để hoạt động công đoàn theo quy định của pháp luật về công đoàn.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9. Thời gian phải ngừng việc, nghỉ việc không do lỗi của người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10. Thời gian nghỉ vì bị tạm đình chỉ công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11. Thời gian bị tạm giữ, tạm giam nhưng được trở lại làm việc do được cơ quan nhà nước có thẩm quyền kết luận không phạm tội.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8" w:name="Dieu_7"/>
            <w:bookmarkEnd w:id="8"/>
            <w:r w:rsidRPr="00682F4C">
              <w:rPr>
                <w:rFonts w:ascii="Arial" w:eastAsia="Times New Roman" w:hAnsi="Arial" w:cs="Arial"/>
                <w:b/>
                <w:bCs/>
                <w:sz w:val="20"/>
                <w:szCs w:val="20"/>
              </w:rPr>
              <w:t>7. Cách tính số ngày nghỉ hằng năm đối với trường hợp làm không đủ năm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lastRenderedPageBreak/>
              <w:t>Số ngày nghỉ hằng năm theo Khoản 2 Điều 114 của Bộ luật lao động được tính như sau: lấy số ngày nghỉ hằng năm cộng với số ngày được nghỉ tăng thêm theo thâm niên (nếu có), chia cho 12 tháng, nhân với số tháng làm việc thực tế trong năm để tính thành số ngày được nghỉ hằng năm; kết quả phép tính lấy tròn số hàng đơn vị, nếu phần thập phân lớn hơn hoặc bằng 0,5 thì làm tròn lên 01 đơn vị.</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9" w:name="Dieu_8"/>
            <w:bookmarkEnd w:id="9"/>
            <w:r w:rsidRPr="00682F4C">
              <w:rPr>
                <w:rFonts w:ascii="Arial" w:eastAsia="Times New Roman" w:hAnsi="Arial" w:cs="Arial"/>
                <w:b/>
                <w:bCs/>
                <w:sz w:val="20"/>
                <w:szCs w:val="20"/>
              </w:rPr>
              <w:t>8. Nghỉ Tết Âm lịch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Thời gian nghỉ Tết Âm lịch theo Khoản 1 Điều 115 của Bộ luật lao động do người sử dụng lao động lựa chọn 01 ngày cuối năm và 04 ngày đầu năm âm lịch hoặc 02 ngày cuối năm và 03 ngày đầu năm âm lịch.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Người sử dụng lao động có trách nhiệm thông báo phương án nghỉ Tết Âm lịch cho người lao động trước khi thực hiện ít nhất 30 ngày.</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Chương </w:t>
            </w:r>
            <w:bookmarkStart w:id="10" w:name="Chuong_III"/>
            <w:bookmarkEnd w:id="10"/>
            <w:r w:rsidRPr="00682F4C">
              <w:rPr>
                <w:rFonts w:ascii="Arial" w:eastAsia="Times New Roman" w:hAnsi="Arial" w:cs="Arial"/>
                <w:b/>
                <w:bCs/>
                <w:sz w:val="20"/>
                <w:szCs w:val="20"/>
              </w:rPr>
              <w:t>III</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AN TOÀN LAO ĐỘNG, VỆ SINH LAO ĐỘNG</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MỤC 1</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NHỮNG QUY ĐỊNH CHUNG VỀ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1" w:name="Dieu_9"/>
            <w:bookmarkEnd w:id="11"/>
            <w:r w:rsidRPr="00682F4C">
              <w:rPr>
                <w:rFonts w:ascii="Arial" w:eastAsia="Times New Roman" w:hAnsi="Arial" w:cs="Arial"/>
                <w:b/>
                <w:bCs/>
                <w:sz w:val="20"/>
                <w:szCs w:val="20"/>
              </w:rPr>
              <w:t>9. Xây dựng Chương trình quốc gia về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Bộ Lao động - Thương binh và Xã hội có trách nhiệm xây dựng Chương trình quốc gia về an toàn lao động, vệ sinh lao động theo từng giai đoạn 05 năm, trình Thủ tướng Chính phủ phê duyệt.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Hằng năm, căn cứ Chương trình quốc gia về an toàn lao động, vệ sinh lao động đã được phê duyệt, dự toán của các Bộ, cơ quan và địa phương, Bộ Lao động - Thương binh và Xã hội tổng hợp dự toán kinh phí thực hiện Chương trình cùng với dự toán ngân sách nhà nước gửi Bộ Tài chính, Bộ Kế hoạch và Đầu tư trình cơ quan có thẩm quyền quyết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2" w:name="Dieu_10"/>
            <w:bookmarkEnd w:id="12"/>
            <w:r w:rsidRPr="00682F4C">
              <w:rPr>
                <w:rFonts w:ascii="Arial" w:eastAsia="Times New Roman" w:hAnsi="Arial" w:cs="Arial"/>
                <w:b/>
                <w:bCs/>
                <w:sz w:val="20"/>
                <w:szCs w:val="20"/>
              </w:rPr>
              <w:t>10. Lập phương án về các biện pháp bảo đảm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Khi xây dựng mới, mở rộng hoặc cải tạo công trình, cơ sở để sản xuất, sử dụng, bảo quản, lưu giữ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 trình cơ quan có thẩm quyền cho phép xây dựng mới, mở rộng, cải tạo công trình, cơ sở.</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Phương án về các biện pháp bảo đảm an toàn lao động, vệ sinh lao động phải có các nội dung chính sau đây: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Địa điểm, quy mô công trình, cơ sở phải nêu rõ khoảng cách từ công trình, cơ sở đến khu dân cư và các công trình khác;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Liệt kê, mô tả chi tiết các hạng mục trong công trình, cơ sở;</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Nêu rõ những yếu tố nguy hiểm, có hại, sự cố có thể phát sinh trong quá trình hoạt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Các biện pháp cụ thể nhằm loại trừ, giảm thiểu các yếu tố nguy hiểm, có hại; phương án xử lý sự cố, ứng cứu khẩn cấp.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3" w:name="Dieu_11"/>
            <w:bookmarkEnd w:id="13"/>
            <w:r w:rsidRPr="00682F4C">
              <w:rPr>
                <w:rFonts w:ascii="Arial" w:eastAsia="Times New Roman" w:hAnsi="Arial" w:cs="Arial"/>
                <w:b/>
                <w:bCs/>
                <w:sz w:val="20"/>
                <w:szCs w:val="20"/>
              </w:rPr>
              <w:t>11. Sử dụng người lao động cao tuổi làm công việc nặng nhọc, độc hại, nguy hiểm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Việc sử dụng người lao động cao tuổi làm công việc nặng nhọc, độc hại, nguy hiểm chỉ được thực hiện khi có đủ các điều kiện sau đây: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Người lao động cao tuổi có kinh nghiệm, tay nghề cao với thâm niên nghề nghiệp từ đủ 15 năm trở lên; được cấp chứng nhận hoặc chứng chỉ nghề hoặc được công nhận là nghệ nhân theo quy định của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Người lao động cao tuổi có đủ sức khỏe theo tiêu chuẩn do Bộ trưởng Bộ Y tế ban hành đối với nghề, công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Sử dụng có tính thời điểm; không quá 05 năm đối với từng người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Phải khám sức khỏe định kỳ ít nhất 02 lần trong một năm;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Có ít nhất 01 người lao động không phải là người lao động cao tuổi cùng làm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xml:space="preserve">2. Căn cứ quy định tại Khoản 1 Điều này, Bộ, cơ quan ngang Bộ quy định chức danh nghề, công việc nặng nhọc, độc hại, nguy hiểm và các điều kiện cụ thể đối với từng trường hợp đặc biệt sử dụng </w:t>
            </w:r>
            <w:r w:rsidRPr="00682F4C">
              <w:rPr>
                <w:rFonts w:ascii="Arial" w:eastAsia="Times New Roman" w:hAnsi="Arial" w:cs="Arial"/>
                <w:sz w:val="20"/>
                <w:szCs w:val="20"/>
              </w:rPr>
              <w:lastRenderedPageBreak/>
              <w:t>người lao động cao tuổi trong lĩnh vực, ngành, nghề thuộc thẩm quyền quản lý.</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Mục 2</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TAI NẠN LAO ĐỘNG, BỆNH NGHỀ NGHIỆP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4" w:name="Dieu_12"/>
            <w:bookmarkEnd w:id="14"/>
            <w:r w:rsidRPr="00682F4C">
              <w:rPr>
                <w:rFonts w:ascii="Arial" w:eastAsia="Times New Roman" w:hAnsi="Arial" w:cs="Arial"/>
                <w:b/>
                <w:bCs/>
                <w:sz w:val="20"/>
                <w:szCs w:val="20"/>
              </w:rPr>
              <w:t>12. Tai nạn lao động và sự cố nghiêm trọng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tấm rửa, cho con bú, đi vệ sinh, chuẩn bị và kết thúc công việc tại nơi làm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Tai nạn được coi là tai nạn lao động là tai nạn xảy ra tại địa điểm và thời gian hợp lý khi người lao động đi từ nơi ở đến nơi làm việc, từ nơi làm việc về nơi ở.</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Tai nạn lao động được phân loại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Tai nạn lao động chết người;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Tai nạn lao động nặng;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Tai nạn lao động nhẹ.</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Sự cố nghiêm trọng là tai nạn xảy ra trong quá trình lao động (không bao gồm tai nạn lao động) gây thiệt hại lớn về tài sản của người lao động, người sử dụng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5" w:name="Dieu_13"/>
            <w:bookmarkEnd w:id="15"/>
            <w:r w:rsidRPr="00682F4C">
              <w:rPr>
                <w:rFonts w:ascii="Arial" w:eastAsia="Times New Roman" w:hAnsi="Arial" w:cs="Arial"/>
                <w:b/>
                <w:bCs/>
                <w:sz w:val="20"/>
                <w:szCs w:val="20"/>
              </w:rPr>
              <w:t>13. Khai báo, điều tra, thống kê, báo cáo, bồi thường, trợ cấp tai nạn lao động, bệnh nghề nghiệp, sự cố nghiêm trọng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Việc khai báo, điều tra, thống kê, báo cáo tai nạn lao động, sự cố nghiêm trọng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Người sử dụng lao động có trách nhiệm khai báo ngay với Thanh tra Sở Lao động - Thương binh và Xã hội nơi xảy ra tai nạn lao động chết người, tai nạn lao động nặng làm bị thương từ 02 người lao động trở lên và sự cố nghiêm trọng;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Người sử dụng lao động có trách nhiệm điều tra tai nạn lao động nhẹ, tai nạn lao động nặng làm bị thương 01 người lao động, sự cố nghiêm trọng;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Thanh tra lao động có trách nhiệm điều tra tai nạn lao động chết người, tai nạn lao động nặng làm bị thương từ 02 người lao động trở lên; điều tra lại tai nạn lao động, sự cố nghiêm trọng đã được người sử dụng lao động điều tra nếu có khiếu nại, tố cáo hoặc khi xét thấy cần thiết;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Trong quá trình điều tra tai nạn lao động, sự cố nghiêm trọng mà phát hiện có dấu hiệu tội phạm thì Thanh tra lao động, người sử dụng lao động phải báo cáo cơ quan nhà nước có thẩm quyền và đề nghị chuyển hồ sơ cho cơ quan tiến hành tố tụng hình sự;</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Người sử dụng lao động phải mở sổ thống kê và định kỳ 6 tháng, hằng năm báo cáo cơ quan nhà nước có thẩm quyền về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Việc thống kê, báo cáo bệnh nghề nghiệp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Người sử dụng lao động phải lập hồ sơ sức khỏe đối với người lao động bị bệnh nghề nghiệp và định kỳ 6 tháng, hằng năm báo cáo cơ quan nhà nước có thẩm quyền về y tế,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Bộ trưởng Bộ Y tế hướng dẫn chi tiết thủ tục, trình tự thống kê, báo cáo bệnh nghề nghiệp.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Người sử dụng lao động có trách nhiệm bồi thường, trợ cấp đối với người bị tai nạn lao động, bệnh nghề nghiệp theo hướng dẫn của Bộ trưởng Bộ Lao động - Thương binh và Xã hội.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6" w:name="Dieu_14"/>
            <w:bookmarkEnd w:id="16"/>
            <w:r w:rsidRPr="00682F4C">
              <w:rPr>
                <w:rFonts w:ascii="Arial" w:eastAsia="Times New Roman" w:hAnsi="Arial" w:cs="Arial"/>
                <w:b/>
                <w:bCs/>
                <w:sz w:val="20"/>
                <w:szCs w:val="20"/>
              </w:rPr>
              <w:t>14. Kiểm soát các yếu tố nguy hiểm, có hại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Đối với nơi làm việc có các yếu tố nguy hiểm, có hại có nguy cơ gây tai nạn lao động, bệnh nghề nghiệp, người sử dụng lao động có trách nhiệm sau đây: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Kiểm tra, đánh giá các yếu tố nguy hiểm, có hại; đề ra các biện pháp loại trừ, giảm thiểu các mối nguy hiểm, có hại, cải thiện điều kiện lao động, chăm sóc sức khỏe cho người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Tổ chức đo lường các yếu tố có hại ít nhất 01 lần trong một năm; lập hồ sơ lưu giữ và theo dõi theo quy định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Trang bị phương tiện kỹ thuật, y tế để bảo đảm ứng cứu, sơ cứu kịp thời khi xảy ra sự cố, tai nạn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xml:space="preserve">4. Xây dựng phương án xử lý sự cố, ứng cứu khẩn cấp và tổ chức đội cấp cứu tại chỗ theo quy định </w:t>
            </w:r>
            <w:r w:rsidRPr="00682F4C">
              <w:rPr>
                <w:rFonts w:ascii="Arial" w:eastAsia="Times New Roman" w:hAnsi="Arial" w:cs="Arial"/>
                <w:sz w:val="20"/>
                <w:szCs w:val="20"/>
              </w:rPr>
              <w:lastRenderedPageBreak/>
              <w:t>pháp luật; đội cấp cứu phải được huấn luyện kỹ năng và thường xuyên tập luyện.</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Mục 3</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7" w:name="Dieu_15"/>
            <w:bookmarkEnd w:id="17"/>
            <w:r w:rsidRPr="00682F4C">
              <w:rPr>
                <w:rFonts w:ascii="Arial" w:eastAsia="Times New Roman" w:hAnsi="Arial" w:cs="Arial"/>
                <w:b/>
                <w:bCs/>
                <w:sz w:val="20"/>
                <w:szCs w:val="20"/>
              </w:rPr>
              <w:t>15. Tổ chức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Kiểm định kỹ thuật an toàn lao động là hoạt động kỹ thuật thực hiện theo quy trình nhất định (sau đây gọi là quy trình kiểm định) nhằm đánh giá và xác nhận sự phù hợp về tình trạng kỹ thuật an toàn của đối tượng kiểm định theo quy chuẩn kỹ thuật hoặc tiêu chuẩn kỹ thuật.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Tổ chức hoạt động kiểm định kỹ thuật an toàn lao động là đơn vị sự nghiệp, doanh nghiệp được thành lập theo quy định của pháp luật và được cơ quan quản lý nhà nước có thẩm quyền cấp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8" w:name="Dieu_16"/>
            <w:bookmarkEnd w:id="18"/>
            <w:r w:rsidRPr="00682F4C">
              <w:rPr>
                <w:rFonts w:ascii="Arial" w:eastAsia="Times New Roman" w:hAnsi="Arial" w:cs="Arial"/>
                <w:b/>
                <w:bCs/>
                <w:sz w:val="20"/>
                <w:szCs w:val="20"/>
              </w:rPr>
              <w:t>16. Điều kiện cấp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Có giấy đăng ký kinh doanh hoặc có quyết định thành lập của cơ quan có thẩm quyền.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Có cơ sở vật chất, kỹ thuật đáp ứng các yêu cầu kiểm định của từng đối tượng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Có đủ kiểm định viên đáp ứng các yêu cầu kiểm định của từng đối tượng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Có tổ chức phù hợp để thực hiện hoạt động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19" w:name="Dieu_17"/>
            <w:bookmarkEnd w:id="19"/>
            <w:r w:rsidRPr="00682F4C">
              <w:rPr>
                <w:rFonts w:ascii="Arial" w:eastAsia="Times New Roman" w:hAnsi="Arial" w:cs="Arial"/>
                <w:b/>
                <w:bCs/>
                <w:sz w:val="20"/>
                <w:szCs w:val="20"/>
              </w:rPr>
              <w:t>17. Hồ sơ, thủ tục cấp, cấp lại và bổ sung, sửa đổi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Hồ sơ cấp Giấy chứng nhận đủ điều kiện hoạt động kiểm định kỹ thuật an toàn lao động bao gồm: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Đơn đề nghị cấp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Tài liệu chứng minh năng lực phù hợp với điều kiện quy định tại Điều 16 Nghị định này.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Hồ sơ cấp lại Giấy chứng nhận đủ điều kiện hoạt động kiểm định kỹ thuật an toàn lao động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Ít nhất 03 tháng trước khi hết thời hạn quy định trong Giấy chứng nhận, tổ chức có nhu cầu tiếp tục hoạt động dịch vụ kiểm định kỹ thuật an toàn lao động phải gửi hồ sơ cấp lại Giấy chứng nhận. Hồ sơ bao gồm: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Đơn đề nghị cấp lại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Giấy chứng nhận đã được cấp;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Báo cáo tình hình hoạt động của tổ chức trong thời gian được cấp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Tài liệu chứng minh năng lực phù hợp với điều kiện quy định tại Điều 16 Nghị định này.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Trường hợp Giấy chứng nhận bị mất, bị hỏng, tổ chức có nhu cầu tiếp tục hoạt động dịch vụ kiểm định kỹ thuật an toàn lao động phải gửi hồ sơ cấp lại Giấy chứng nhận. Hồ sơ bao gồm: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Đơn đề nghị cấp lại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Bản sao hoặc bản gốc Giấy chứng nhận đã được cấp (nếu có).</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Hồ sơ đề nghị bổ sung, sửa đổi Giấy chứng nhận đủ điều kiện hoạt động kiểm định kỹ thuật an toàn lao động bao gồm: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Đơn đề nghị bổ sung, sửa đổi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Giấy chứng nhận đã được cấp;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Các tài liệu chứng minh yêu cầu bổ sung, sửa đổi.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Thủ tục cấp, cấp lại, bổ sung, sửa đổi Giấy chứng nhận đủ điều kiện hoạt động kiểm định kỹ thuật an toàn lao động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Tổ chức có nhu cầu cấp, cấp lại, bổ sung, sửa đổi Giấy chứng nhận phải gửi cơ quan có thẩm quyền quy định tại Điều 18 Nghị định này hồ sơ đăng ký cấp, cấp lại, bổ sung, sửa đổi Giấy chứng nhận; đồng thời nộp phí, lệ phí liên quan đến việc đánh giá điều kiện hoạt động, cấp, cấp lại, bổ sung, sửa đổi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xml:space="preserve">b) Trong thời hạn 30 ngày làm việc, kể từ ngày nhận hồ sơ đầy đủ, hợp lệ, cơ quan có thẩm quyền quy định tại Điều 18 Nghị định này có trách nhiệm cấp, cấp lại, bổ sung, sửa đổi Giấy chứng nhận; </w:t>
            </w:r>
            <w:r w:rsidRPr="00682F4C">
              <w:rPr>
                <w:rFonts w:ascii="Arial" w:eastAsia="Times New Roman" w:hAnsi="Arial" w:cs="Arial"/>
                <w:sz w:val="20"/>
                <w:szCs w:val="20"/>
              </w:rPr>
              <w:lastRenderedPageBreak/>
              <w:t>trường hợp không cấp, cấp lại, bổ sung, sửa đổi Giấy chứng nhận thì phải trả lời bằng văn bản và nêu rõ lý do.</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0" w:name="Dieu_18"/>
            <w:bookmarkEnd w:id="20"/>
            <w:r w:rsidRPr="00682F4C">
              <w:rPr>
                <w:rFonts w:ascii="Arial" w:eastAsia="Times New Roman" w:hAnsi="Arial" w:cs="Arial"/>
                <w:b/>
                <w:bCs/>
                <w:sz w:val="20"/>
                <w:szCs w:val="20"/>
              </w:rPr>
              <w:t>18. Thẩm quyền cấp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Thẩm quyền cấp Giấy chứng nhận đủ điều kiện hoạt động kiểm định kỹ thuật an toàn lao động được quy định như sau:</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Bộ Công Thương: vật liệu nổ công nghiệp; hệ thống thủy lực nâng cánh phai thủy điện; máy và thiết bị có yêu cầu nghiêm ngặt về an toàn lao động chỉ sử dụng cho khai thác mỏ trong hầm lò;</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Bộ Giao thông vận tải: các loại máy, thiết bị, vật tư có yêu cầu nghiêm ngặt về an toàn lao động để vận hành động cơ của phương tiện giao thông vận tải đường bộ, đường thủy nội địa, hàng hải, đường sắt, hàng không (không bao gồm các loại máy, thiết bị, vật tư có yêu cầu nghiêm ngặt về an toàn lao động được chuyên chở hoặc được lắp đặt trên phương tiện vận tải để làm việc trên các công trường, kho hàng, nơi sản xuất, kinh doanh); thiết bị có yêu cầu nghiêm ngặt về an toàn lao động chỉ phục vụ thăm dò, khai thác dầu khí trên biển; hệ thống đường ống dẫn dầu, khí đốt trên biển;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Bộ Khoa học và Công nghệ: lò phản ứng hạt nhân; buồng thử nghiệm tương thích điện từ; các loại máy, thiết bị có yêu cầu nghiêm ngặt về an toàn lao động làm việc trong lưới điện cao áp; các loại máy, thiết bị chứa nguồn phóng xạ, bức xạ;</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Bộ Xây dựng: hệ thống giàn giáo; hệ thống cốp pha trượt; thanh, cột chống tổ hợp;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Bộ Thông tin và Truyền thông: ăng ten bức xạ cao tần; máy khuếch đại công suất cao tần trong phát thanh, truyền hình;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e) Bộ Quốc phòng: các loại máy, thiết bị, vật tư có yêu cầu nghiêm ngặt về an toàn lao động chuyên sử dụng cho mục đích quốc phòng, đặc thù quân sự;</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g) Bộ Lao động - Thương binh và Xã hội: các loại máy, thiết bị, vật tư có yêu cầu nghiêm ngặt về an toàn lao động, trừ các loại máy, thiết bị, vật tư quy định tại Điểm a, b, c, d, đ và e Khoản này.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Cơ quan cấp Giấy chứng nhận quy định tại Khoản 1 Điều này là cơ quan có thẩm quyền cấp lại, bổ sung, sửa đổi, thu hồi, đình chỉ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1" w:name="Dieu_19"/>
            <w:bookmarkEnd w:id="21"/>
            <w:r w:rsidRPr="00682F4C">
              <w:rPr>
                <w:rFonts w:ascii="Arial" w:eastAsia="Times New Roman" w:hAnsi="Arial" w:cs="Arial"/>
                <w:b/>
                <w:bCs/>
                <w:sz w:val="20"/>
                <w:szCs w:val="20"/>
              </w:rPr>
              <w:t>19. Thời hạn của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Thời hạn của Giấy chứng nhận đủ điều kiện hoạt động kiểm định kỹ thuật an toàn lao động là 03 năm đối với Giấy chứng nhận cấp mới hoặc cấp lại khi Giấy chứng nhận hết hạn.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Thời hạn của Giấy chứng nhận đủ điều kiện hoạt động kiểm định kỹ thuật an toàn lao động được cấp lại do bị mất, bị hỏng là thời gian còn lại của Giấy chứng nhận đã được cấp.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2" w:name="Dieu_20"/>
            <w:bookmarkEnd w:id="22"/>
            <w:r w:rsidRPr="00682F4C">
              <w:rPr>
                <w:rFonts w:ascii="Arial" w:eastAsia="Times New Roman" w:hAnsi="Arial" w:cs="Arial"/>
                <w:b/>
                <w:bCs/>
                <w:sz w:val="20"/>
                <w:szCs w:val="20"/>
              </w:rPr>
              <w:t>20. Đình chỉ hoạt động của tổ chức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Tổ chức hoạt động kiểm định kỹ thuật an toàn lao động bị đình chỉ hoạt động kiểm định trong các trường hợp sau đây: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Không đáp ứng điều kiện quy định tại Điều 16 Nghị định này;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Liên tục trong 18 tháng không báo cáo cơ quan có thẩm quyền về tình hình hoạt động kiểm định theo quy định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3" w:name="Dieu_21"/>
            <w:bookmarkEnd w:id="23"/>
            <w:r w:rsidRPr="00682F4C">
              <w:rPr>
                <w:rFonts w:ascii="Arial" w:eastAsia="Times New Roman" w:hAnsi="Arial" w:cs="Arial"/>
                <w:b/>
                <w:bCs/>
                <w:sz w:val="20"/>
                <w:szCs w:val="20"/>
              </w:rPr>
              <w:t>21. Thu hồi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Hết thời hạn đình chỉ hoạt động kiểm định mà không khắc phục được các nguyên nhân bị đình chỉ.</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Bị xử phạt vi phạm hành chính 03 lần đối với 01 hành vi hoặc 03 lần trong một năm.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Tiến hành hoạt động kiểm định trong thời gian bị đình chỉ hoạt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Giả mạo hoặc khai man các tài liệu trong hồ sơ cấp, cấp lại, bổ sung, sửa đổi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5. Sửa chữa nội dung Giấy chứng nhận.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4" w:name="Dieu_22"/>
            <w:bookmarkEnd w:id="24"/>
            <w:r w:rsidRPr="00682F4C">
              <w:rPr>
                <w:rFonts w:ascii="Arial" w:eastAsia="Times New Roman" w:hAnsi="Arial" w:cs="Arial"/>
                <w:b/>
                <w:bCs/>
                <w:sz w:val="20"/>
                <w:szCs w:val="20"/>
              </w:rPr>
              <w:t>22. Quyền và trách nhiệm của tổ chức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Tổ chức hoạt động kiểm định kỹ thuật an toàn lao động có quyền: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Thực hiện hoạt động kiểm định theo hợp đồng cung cấp dịch vụ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lastRenderedPageBreak/>
              <w:t>b) Được thu phí, giá dịch vụ theo quy định của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Kiến nghị, khiếu nại, tố cáo hành vi cản trở hoạt động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Yêu cầu tổ chức, cá nhân có đối tượng đề nghị được kiểm định cung cấp các tài liệu, thông tin phục vụ hoạt động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Có quyền khác theo quy định của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Tổ chức hoạt động kiểm định kỹ thuật an toàn lao động có trách nhiệm: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Cung cấp dịch vụ kiểm định trong phạm vi, đối tượng được quy định trong Giấy chứng nhận đủ điều kiện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Không được từ chối cung cấp dịch vụ kiểm định mà không có lý do chính đáng;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Thực hiện kiểm định theo quy trình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Chịu trách nhiệm về kết quả kiểm định, bồi thường thiệt hại do hoạt động kiểm định gây ra theo quy định của pháp luật; phải thu hồi kết quả kiểm định đã cấp khi phát hiện sai phạm;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Báo cáo cơ quan có thẩm quyền về tình hình hoạt động kiểm định theo quy định của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e) Lưu giữ hồ sơ kiểm định;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g) Có trách nhiệm khác theo quy định pháp luật.</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5" w:name="Dieu_23"/>
            <w:bookmarkEnd w:id="25"/>
            <w:r w:rsidRPr="00682F4C">
              <w:rPr>
                <w:rFonts w:ascii="Arial" w:eastAsia="Times New Roman" w:hAnsi="Arial" w:cs="Arial"/>
                <w:b/>
                <w:bCs/>
                <w:sz w:val="20"/>
                <w:szCs w:val="20"/>
              </w:rPr>
              <w:t>23. Trách nhiệm sử dụng các loại máy, thiết bị, vật tư có yêu cầu nghiêm ngặt về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Doanh nghiệp, cơ quan, tổ chức, hợp tác xã, hộ gia đình và cá nhân sử dụng các loại máy, thiết bị, vật tư có yêu cầu nghiêm ngặt về an toàn lao động có trách nhiệm: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Ký hợp đồng với tổ chức hoạt động kiểm định kỹ thuật an toàn lao động để kiểm định lần đầu trước khi đưa vào sử dụng hoặc kiểm định định kỳ trong quá trình sử dụng các loại máy, thiết bị, vật tư có yêu cầu nghiêm ngặt về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Khai báo trước khi đưa vào sử dụng, báo cáo việc kiểm định các loại máy, thiết bị, vật tư có yêu cầu nghiêm ngặt về an toàn lao động với cơ quan có thẩm quyền.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6" w:name="Dieu_24"/>
            <w:bookmarkEnd w:id="26"/>
            <w:r w:rsidRPr="00682F4C">
              <w:rPr>
                <w:rFonts w:ascii="Arial" w:eastAsia="Times New Roman" w:hAnsi="Arial" w:cs="Arial"/>
                <w:b/>
                <w:bCs/>
                <w:sz w:val="20"/>
                <w:szCs w:val="20"/>
              </w:rPr>
              <w:t>24. Trách nhiệm của các cơ quan quản lý nhà nước đối với hoạt động kiểm định kỹ thuật an toàn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Các Bộ, cơ quan ngang Bộ, cơ quan thuộc Chính phủ có trách nhiệm: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Đề xuất các loại máy, thiết bị, vật tư thuộc lĩnh vực quản lý đưa vào danh mục các loại máy, thiết bị, vật tư có yêu cầu nghiêm ngặt về an toàn lao động để Bộ Lao động - Thương binh và Xã hội ban hành;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Ban hành các quy trình kiểm định các đối tượng thuộc thẩm quyền quy định tại Điều 18 Nghị định này, sau khi có ý kiến bằng văn bản của Bộ Lao động - Thương binh và Xã hội;</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Quy định chi tiết các Điều 16, Điều 17 và Điều 20 Nghị định này; điều kiện, trình tự, thủ tục cấp, thu hồi Chứng chỉ kiểm định viên kỹ thuật an toàn lao động thuộc thẩm quyền quản lý;</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Tổ chức thanh tra, kiểm tra hoạt động kiểm định kỹ thuật an toàn lao động thuộc thẩm quyền quản lý;</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5. Định kỳ hằng năm hoặc đột xuất, tổng hợp báo cáo gửi Bộ Lao động - Thương binh và Xã hội về tình hình hoạt động kiểm định kỹ thuật an toàn lao động.</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Chương </w:t>
            </w:r>
            <w:bookmarkStart w:id="27" w:name="Chuong_IV"/>
            <w:bookmarkEnd w:id="27"/>
            <w:r w:rsidRPr="00682F4C">
              <w:rPr>
                <w:rFonts w:ascii="Arial" w:eastAsia="Times New Roman" w:hAnsi="Arial" w:cs="Arial"/>
                <w:b/>
                <w:bCs/>
                <w:sz w:val="20"/>
                <w:szCs w:val="20"/>
              </w:rPr>
              <w:t>IV</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QUẢN LÝ NHÀ NƯỚC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28" w:name="Dieu_25"/>
            <w:bookmarkEnd w:id="28"/>
            <w:r w:rsidRPr="00682F4C">
              <w:rPr>
                <w:rFonts w:ascii="Arial" w:eastAsia="Times New Roman" w:hAnsi="Arial" w:cs="Arial"/>
                <w:b/>
                <w:bCs/>
                <w:sz w:val="20"/>
                <w:szCs w:val="20"/>
              </w:rPr>
              <w:t>25. Quản lý nhà nước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Bộ Lao động - Thương binh và Xã hội chịu trách nhiệm trước Chính phủ thống nhất quản lý nhà nước về thời giờ làm việc, thời giờ nghỉ ngơi và an toàn lao động, vệ sinh lao động, có trách nhiệm: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Xây dựng, trình cơ quan có thẩm quyền ban hành hoặc ban hành theo thẩm quyền văn bản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xml:space="preserve">b) Chủ trì, phối hợp với các Bộ, cơ quan liên quan lập Hồ sơ quốc gia về an toàn lao động, vệ sinh lao </w:t>
            </w:r>
            <w:r w:rsidRPr="00682F4C">
              <w:rPr>
                <w:rFonts w:ascii="Arial" w:eastAsia="Times New Roman" w:hAnsi="Arial" w:cs="Arial"/>
                <w:sz w:val="20"/>
                <w:szCs w:val="20"/>
              </w:rPr>
              <w:lastRenderedPageBreak/>
              <w:t>động theo thông lệ quốc tế;</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Tổ chức tuyên truyền, phổ biến pháp luật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Hướng dẫn và quản lý việc tổ chức huấn luyện về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Hướng dẫn thực hiện công tác an toàn lao động, vệ sinh lao động tại doanh nghiệp, cơ quan, tổ chức, hợp tác xã có hoạt động sản xuất kinh doanh;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e) Đưa nội dung an toàn lao động, vệ sinh lao động vào chương trình giảng dạy trong các trường và cơ sở dạy nghề;</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g) Thực hiện điều tra tai nạn lao động; phối hợp với Bộ Công an, Viện kiểm sát nhân dân tối cao điều tra, xử lý tai nạn lao động có dấu hiệu tội phạm;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h) Tổ chức thanh tra, kiểm tra việc chấp hành pháp luật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i) Hợp tác quốc tế trong lĩnh vực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Bộ Y tế có trách nhiệm: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Xây dựng, trình cơ quan có thẩm quyền ban hành hoặc ban hành theo thẩm quyền văn bản về chăm sóc sức khoẻ cho người lao động; tiêu chuẩn sức khỏe quy định cho từng loại nghề, công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Chủ trì, phối hợp với Bộ Lao động - Thương binh và Xã hội xây dựng, ban hành danh mục các loại bệnh nghề nghiệp;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c) Phối hợp với Bộ Lao động - Thương binh và Xã hội hướng dẫn các biện pháp bảo đảm vệ sinh lao động khi xây dựng mới, mở rộng hoặc cải tạo các công trình, cơ sở để sản xuất, sử dụng, bảo quản, lưu giữ các chất có yêu cầu nghiêm ngặt về vệ sinh lao động thuộc thẩm quyền;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d) Hướng dẫn việc tổ chức đội cấp cứu tại chỗ; nội dung tập huấn về sơ cứu, cấp cứu tại nơi làm việc;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đ) Hướng dẫn và quản lý việc tổ chức khám sức khỏe định kỳ, khám sức khỏe khi tuyển dụng, khám bệnh nghề nghiệp; giám định y khoa để xếp hạng thương tật, điều trị và phục hồi chức năng lao động đối với người bị tai nạn lao động, bệnh nghề nghiệp.</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Bộ Khoa học và Công nghệ có trách nhiệm:</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a) Quản lý thống nhất việc nghiên cứu và ứng dụng khoa học kỹ thuật về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b) Chịu trách nhiệm tổ chức và chỉ đạo các hoạt động về an toàn bức xạ và an toàn hạt nhân.</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4. Bộ Giáo dục và Đào tạo có trách nhiệm đưa nội dung an toàn lao động, vệ sinh lao động vào chương trình giảng dạy trong các cơ sở giáo dục đại học.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5. Bộ Văn hóa, Thể thao và Du lịch, Bộ Lao động - Thương binh và Xã hội hướng dẫn về thời giờ làm việc, thời giờ nghỉ ngơi và an toàn lao động, vệ sinh lao động phù hợp với điều kiện làm việc đối với người lao động làm việc trong lĩnh vực nghệ thuật, thể dục thể thao.</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6. Bộ Tài chính, Bộ Lao động - Thương binh và Xã hội quy định mức thu, chế độ thu, nộp, quản lý và sử dụng các loại phí, lệ phí liên quan đến hoạt động kiểm định kỹ thuật an toàn lao động và huấn luyện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7. Các Bộ, cơ quan ngang Bộ trong phạm vi nhiệm vụ, quyền hạn của mình có trách nhiệm thực hiện quản lý nhà nước về thời giờ làm việc, thời giờ nghỉ ngơi và an toàn lao động, vệ sinh lao động.</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8. Ủy ban nhân dân cấp tỉnh thực hiện quản lý nhà nước về thời giờ làm việc, thời giờ nghỉ ngơi và an toàn lao động, vệ sinh lao động trong phạm vi địa phương; xây dựng các mục tiêu bảo đảm an toàn lao động, vệ sinh lao động và cải thiện điều kiện lao động.</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Chương </w:t>
            </w:r>
            <w:bookmarkStart w:id="29" w:name="Chuong_V"/>
            <w:bookmarkEnd w:id="29"/>
            <w:r w:rsidRPr="00682F4C">
              <w:rPr>
                <w:rFonts w:ascii="Arial" w:eastAsia="Times New Roman" w:hAnsi="Arial" w:cs="Arial"/>
                <w:b/>
                <w:bCs/>
                <w:sz w:val="20"/>
                <w:szCs w:val="20"/>
              </w:rPr>
              <w:t>V</w:t>
            </w:r>
          </w:p>
          <w:p w:rsidR="00682F4C" w:rsidRPr="00682F4C" w:rsidRDefault="00682F4C" w:rsidP="00682F4C">
            <w:pPr>
              <w:spacing w:before="120" w:after="120"/>
              <w:jc w:val="center"/>
              <w:rPr>
                <w:rFonts w:ascii="Times New Roman" w:eastAsia="Times New Roman" w:hAnsi="Times New Roman" w:cs="Times New Roman"/>
                <w:sz w:val="24"/>
                <w:szCs w:val="24"/>
              </w:rPr>
            </w:pPr>
            <w:r w:rsidRPr="00682F4C">
              <w:rPr>
                <w:rFonts w:ascii="Arial" w:eastAsia="Times New Roman" w:hAnsi="Arial" w:cs="Arial"/>
                <w:b/>
                <w:bCs/>
                <w:sz w:val="20"/>
                <w:szCs w:val="20"/>
              </w:rPr>
              <w:t>ĐIỀU KHOẢN THI HÀNH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30" w:name="Dieu_26"/>
            <w:bookmarkEnd w:id="30"/>
            <w:r w:rsidRPr="00682F4C">
              <w:rPr>
                <w:rFonts w:ascii="Arial" w:eastAsia="Times New Roman" w:hAnsi="Arial" w:cs="Arial"/>
                <w:b/>
                <w:bCs/>
                <w:sz w:val="20"/>
                <w:szCs w:val="20"/>
              </w:rPr>
              <w:t>26. Hiệu lực thi hành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Nghị định này có hiệu lực thi hành kể từ ngày 01 tháng 7 năm 2013.</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 xml:space="preserve">2. Nghị định số 195/CP ngày 31 tháng 12 năm 1994 của Chính phủ quy định chi tiết và hướng dẫn thi </w:t>
            </w:r>
            <w:r w:rsidRPr="00682F4C">
              <w:rPr>
                <w:rFonts w:ascii="Arial" w:eastAsia="Times New Roman" w:hAnsi="Arial" w:cs="Arial"/>
                <w:sz w:val="20"/>
                <w:szCs w:val="20"/>
              </w:rPr>
              <w:lastRenderedPageBreak/>
              <w:t>hành một số điều của Bộ luật lao động về thời giờ làm việc, thời giờ nghỉ ngơi; Nghị định số 06/CP ngày 20 tháng 01 năm 1995 của Chính phủ quy định chi tiết một số điều của Bộ luật lao động về an toàn lao động, vệ sinh lao động; Nghị định số 109/2002/NĐ-CP ngày 27 tháng 12 năm 2002 của Chính phủ sửa đổi, bổ sung một số điều của Nghị định số 195/CP ngày 31 tháng 12 năm 1994 của Chính phủ quy định chi tiết và hướng dẫn thi hành một số điều của Bộ luật lao động về thời giờ làm việc, thời giờ nghỉ ngơi; Nghị định số 110/2002/NĐ-CP ngày 27 tháng 12 năm 2002 của Chính phủ về việc sửa đổi, bổ sung một số điều của Nghị định số 06/CP ngày 20 tháng 01 năm 1995 của Chính phủ hướng dẫn một số điều của Bộ luật lao động về an toàn lao động, vệ sinh lao động; Điều 2 Nghị định số 81/2012/NĐ-CP ngày 08 tháng 10 năm 2012 của Chính phủ sửa đổi, bổ sung một số điều của Nghị định số 68/2008/NĐ-CP ngày 30 tháng 5 năm 2008 của Chính phủ quy định điều kiện, thủ tục thành lập, tổ chức, hoạt động và giải thể cơ sở bảo trợ xã hội và Nghị định số 109/2002/NĐ-CP ngày 27 tháng 12 năm 2002 của Chính phủ sửa đổi, bổ sung một số điều của Nghị định số 195/CP ngày 31 tháng 12 năm 1994 của Chính phủ quy định chi tiết và hướng dẫn một số điều của Bộ luật lao động về thời giờ làm việc, thời giờ nghỉ ngơi hết hiệu lực thi hành kể từ ngày Nghị định này có hiệu lực.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3. Các quy định về thời giờ làm việc, thời giờ nghỉ ngơi và an toàn lao động, vệ sinh lao động quy định tại Nghị định này được áp dụng đối với cán bộ, công chức, viên chức, người thuộc lực lượng quân đội nhân dân, công an nhân dân, trừ trường hợp văn bản quy phạm pháp luật liên quan đến từng đối tượng này có quy định khác.</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b/>
                <w:bCs/>
                <w:sz w:val="20"/>
                <w:szCs w:val="20"/>
              </w:rPr>
              <w:t xml:space="preserve">Điều </w:t>
            </w:r>
            <w:bookmarkStart w:id="31" w:name="Dieu_27"/>
            <w:bookmarkEnd w:id="31"/>
            <w:r w:rsidRPr="00682F4C">
              <w:rPr>
                <w:rFonts w:ascii="Arial" w:eastAsia="Times New Roman" w:hAnsi="Arial" w:cs="Arial"/>
                <w:b/>
                <w:bCs/>
                <w:sz w:val="20"/>
                <w:szCs w:val="20"/>
              </w:rPr>
              <w:t>27. Quy định chi tiết và hướng dẫn thi hành</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1. Bộ trưởng Bộ Lao động - Thương binh và Xã hội chịu trách nhiệm hướng dẫn thi hành Nghị định này.</w:t>
            </w:r>
          </w:p>
          <w:p w:rsidR="00682F4C" w:rsidRPr="00682F4C" w:rsidRDefault="00682F4C" w:rsidP="00682F4C">
            <w:pPr>
              <w:spacing w:before="120" w:after="120"/>
              <w:jc w:val="both"/>
              <w:rPr>
                <w:rFonts w:ascii="Times New Roman" w:eastAsia="Times New Roman" w:hAnsi="Times New Roman" w:cs="Times New Roman"/>
                <w:sz w:val="24"/>
                <w:szCs w:val="24"/>
              </w:rPr>
            </w:pPr>
            <w:r w:rsidRPr="00682F4C">
              <w:rPr>
                <w:rFonts w:ascii="Arial" w:eastAsia="Times New Roman" w:hAnsi="Arial" w:cs="Arial"/>
                <w:sz w:val="20"/>
                <w:szCs w:val="20"/>
              </w:rPr>
              <w:t>2. Bộ trưởng, Thủ trưởng cơ quan ngang Bộ, Thủ trưởng cơ quan thuộc Chính phủ, Chủ tịch Ủy ban nhân dân tỉnh, thành phố trực thuộc trung ương chịu trách nhiệm thi hành Nghị định này./.</w:t>
            </w:r>
          </w:p>
        </w:tc>
      </w:tr>
      <w:tr w:rsidR="00682F4C" w:rsidRPr="00682F4C" w:rsidTr="00682F4C">
        <w:trPr>
          <w:tblCellSpacing w:w="15" w:type="dxa"/>
        </w:trPr>
        <w:tc>
          <w:tcPr>
            <w:tcW w:w="0" w:type="auto"/>
            <w:gridSpan w:val="3"/>
            <w:vAlign w:val="center"/>
            <w:hideMark/>
          </w:tcPr>
          <w:tbl>
            <w:tblPr>
              <w:tblW w:w="1650" w:type="pct"/>
              <w:jc w:val="right"/>
              <w:tblCellSpacing w:w="15" w:type="dxa"/>
              <w:tblCellMar>
                <w:top w:w="15" w:type="dxa"/>
                <w:left w:w="15" w:type="dxa"/>
                <w:bottom w:w="15" w:type="dxa"/>
                <w:right w:w="15" w:type="dxa"/>
              </w:tblCellMar>
              <w:tblLook w:val="04A0"/>
            </w:tblPr>
            <w:tblGrid>
              <w:gridCol w:w="2994"/>
            </w:tblGrid>
            <w:tr w:rsidR="00682F4C" w:rsidRPr="00682F4C">
              <w:trPr>
                <w:tblCellSpacing w:w="15" w:type="dxa"/>
                <w:jc w:val="right"/>
              </w:trPr>
              <w:tc>
                <w:tcPr>
                  <w:tcW w:w="5000" w:type="pct"/>
                  <w:vAlign w:val="center"/>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b/>
                      <w:bCs/>
                      <w:sz w:val="24"/>
                      <w:szCs w:val="24"/>
                    </w:rPr>
                    <w:lastRenderedPageBreak/>
                    <w:t>TM. CHÍNH PHỦ</w:t>
                  </w:r>
                </w:p>
              </w:tc>
            </w:tr>
            <w:tr w:rsidR="00682F4C" w:rsidRPr="00682F4C">
              <w:trPr>
                <w:tblCellSpacing w:w="15" w:type="dxa"/>
                <w:jc w:val="right"/>
              </w:trPr>
              <w:tc>
                <w:tcPr>
                  <w:tcW w:w="5000" w:type="pct"/>
                  <w:vAlign w:val="center"/>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b/>
                      <w:bCs/>
                      <w:sz w:val="24"/>
                      <w:szCs w:val="24"/>
                    </w:rPr>
                    <w:t>THỦ TƯỚNG CHÍNH PHỦ</w:t>
                  </w:r>
                </w:p>
              </w:tc>
            </w:tr>
            <w:tr w:rsidR="00682F4C" w:rsidRPr="00682F4C">
              <w:trPr>
                <w:tblCellSpacing w:w="15" w:type="dxa"/>
                <w:jc w:val="right"/>
              </w:trPr>
              <w:tc>
                <w:tcPr>
                  <w:tcW w:w="5000" w:type="pct"/>
                  <w:vAlign w:val="center"/>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i/>
                      <w:iCs/>
                      <w:sz w:val="24"/>
                      <w:szCs w:val="24"/>
                    </w:rPr>
                    <w:t>(Đã ký)</w:t>
                  </w:r>
                </w:p>
              </w:tc>
            </w:tr>
            <w:tr w:rsidR="00682F4C" w:rsidRPr="00682F4C">
              <w:trPr>
                <w:tblCellSpacing w:w="15" w:type="dxa"/>
                <w:jc w:val="right"/>
              </w:trPr>
              <w:tc>
                <w:tcPr>
                  <w:tcW w:w="5000" w:type="pct"/>
                  <w:vAlign w:val="center"/>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sz w:val="24"/>
                      <w:szCs w:val="24"/>
                    </w:rPr>
                    <w:t> </w:t>
                  </w:r>
                </w:p>
              </w:tc>
            </w:tr>
            <w:tr w:rsidR="00682F4C" w:rsidRPr="00682F4C">
              <w:trPr>
                <w:tblCellSpacing w:w="15" w:type="dxa"/>
                <w:jc w:val="right"/>
              </w:trPr>
              <w:tc>
                <w:tcPr>
                  <w:tcW w:w="5000" w:type="pct"/>
                  <w:vAlign w:val="center"/>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sz w:val="24"/>
                      <w:szCs w:val="24"/>
                    </w:rPr>
                    <w:t> </w:t>
                  </w:r>
                </w:p>
              </w:tc>
            </w:tr>
            <w:tr w:rsidR="00682F4C" w:rsidRPr="00682F4C">
              <w:trPr>
                <w:tblCellSpacing w:w="15" w:type="dxa"/>
                <w:jc w:val="right"/>
              </w:trPr>
              <w:tc>
                <w:tcPr>
                  <w:tcW w:w="5000" w:type="pct"/>
                  <w:vAlign w:val="center"/>
                  <w:hideMark/>
                </w:tcPr>
                <w:p w:rsidR="00682F4C" w:rsidRPr="00682F4C" w:rsidRDefault="00682F4C" w:rsidP="00682F4C">
                  <w:pPr>
                    <w:spacing w:before="0" w:after="0"/>
                    <w:jc w:val="center"/>
                    <w:rPr>
                      <w:rFonts w:ascii="Times New Roman" w:eastAsia="Times New Roman" w:hAnsi="Times New Roman" w:cs="Times New Roman"/>
                      <w:sz w:val="24"/>
                      <w:szCs w:val="24"/>
                    </w:rPr>
                  </w:pPr>
                  <w:r w:rsidRPr="00682F4C">
                    <w:rPr>
                      <w:rFonts w:ascii="Times New Roman" w:eastAsia="Times New Roman" w:hAnsi="Times New Roman" w:cs="Times New Roman"/>
                      <w:b/>
                      <w:bCs/>
                      <w:sz w:val="24"/>
                      <w:szCs w:val="24"/>
                    </w:rPr>
                    <w:t>Nguyễn Tấn Dũng</w:t>
                  </w:r>
                </w:p>
              </w:tc>
            </w:tr>
          </w:tbl>
          <w:p w:rsidR="00682F4C" w:rsidRPr="00682F4C" w:rsidRDefault="00682F4C" w:rsidP="00682F4C">
            <w:pPr>
              <w:spacing w:before="0" w:after="0"/>
              <w:jc w:val="right"/>
              <w:rPr>
                <w:rFonts w:ascii="Times New Roman" w:eastAsia="Times New Roman" w:hAnsi="Times New Roman" w:cs="Times New Roman"/>
                <w:sz w:val="24"/>
                <w:szCs w:val="24"/>
              </w:rPr>
            </w:pPr>
          </w:p>
        </w:tc>
      </w:tr>
    </w:tbl>
    <w:p w:rsidR="002E6F09" w:rsidRDefault="002E6F09"/>
    <w:sectPr w:rsidR="002E6F09" w:rsidSect="00D814BC">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82F4C"/>
    <w:rsid w:val="000F3A1A"/>
    <w:rsid w:val="002C25F5"/>
    <w:rsid w:val="002E6F09"/>
    <w:rsid w:val="004028B4"/>
    <w:rsid w:val="00682F4C"/>
    <w:rsid w:val="00C11C13"/>
    <w:rsid w:val="00D814BC"/>
    <w:rsid w:val="00EA2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F4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4385503">
      <w:bodyDiv w:val="1"/>
      <w:marLeft w:val="0"/>
      <w:marRight w:val="0"/>
      <w:marTop w:val="0"/>
      <w:marBottom w:val="0"/>
      <w:divBdr>
        <w:top w:val="none" w:sz="0" w:space="0" w:color="auto"/>
        <w:left w:val="none" w:sz="0" w:space="0" w:color="auto"/>
        <w:bottom w:val="none" w:sz="0" w:space="0" w:color="auto"/>
        <w:right w:val="none" w:sz="0" w:space="0" w:color="auto"/>
      </w:divBdr>
      <w:divsChild>
        <w:div w:id="1886990954">
          <w:marLeft w:val="0"/>
          <w:marRight w:val="0"/>
          <w:marTop w:val="0"/>
          <w:marBottom w:val="0"/>
          <w:divBdr>
            <w:top w:val="none" w:sz="0" w:space="0" w:color="auto"/>
            <w:left w:val="none" w:sz="0" w:space="0" w:color="auto"/>
            <w:bottom w:val="none" w:sz="0" w:space="0" w:color="auto"/>
            <w:right w:val="none" w:sz="0" w:space="0" w:color="auto"/>
          </w:divBdr>
        </w:div>
        <w:div w:id="817304323">
          <w:marLeft w:val="0"/>
          <w:marRight w:val="0"/>
          <w:marTop w:val="0"/>
          <w:marBottom w:val="0"/>
          <w:divBdr>
            <w:top w:val="none" w:sz="0" w:space="0" w:color="auto"/>
            <w:left w:val="none" w:sz="0" w:space="0" w:color="auto"/>
            <w:bottom w:val="none" w:sz="0" w:space="0" w:color="auto"/>
            <w:right w:val="none" w:sz="0" w:space="0" w:color="auto"/>
          </w:divBdr>
        </w:div>
        <w:div w:id="2057579350">
          <w:marLeft w:val="0"/>
          <w:marRight w:val="0"/>
          <w:marTop w:val="0"/>
          <w:marBottom w:val="0"/>
          <w:divBdr>
            <w:top w:val="none" w:sz="0" w:space="0" w:color="auto"/>
            <w:left w:val="none" w:sz="0" w:space="0" w:color="auto"/>
            <w:bottom w:val="none" w:sz="0" w:space="0" w:color="auto"/>
            <w:right w:val="none" w:sz="0" w:space="0" w:color="auto"/>
          </w:divBdr>
        </w:div>
        <w:div w:id="32416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B8473-0175-4C4D-ACDE-CFC81D79C315}"/>
</file>

<file path=customXml/itemProps2.xml><?xml version="1.0" encoding="utf-8"?>
<ds:datastoreItem xmlns:ds="http://schemas.openxmlformats.org/officeDocument/2006/customXml" ds:itemID="{D0157E5D-0B52-4942-BB7A-2A3D910EB261}"/>
</file>

<file path=customXml/itemProps3.xml><?xml version="1.0" encoding="utf-8"?>
<ds:datastoreItem xmlns:ds="http://schemas.openxmlformats.org/officeDocument/2006/customXml" ds:itemID="{BC5B74B7-EBE3-4A5B-BDA8-D61797F73709}"/>
</file>

<file path=docProps/app.xml><?xml version="1.0" encoding="utf-8"?>
<Properties xmlns="http://schemas.openxmlformats.org/officeDocument/2006/extended-properties" xmlns:vt="http://schemas.openxmlformats.org/officeDocument/2006/docPropsVTypes">
  <Template>Normal</Template>
  <TotalTime>2</TotalTime>
  <Pages>9</Pages>
  <Words>4219</Words>
  <Characters>24053</Characters>
  <Application>Microsoft Office Word</Application>
  <DocSecurity>0</DocSecurity>
  <Lines>200</Lines>
  <Paragraphs>56</Paragraphs>
  <ScaleCrop>false</ScaleCrop>
  <Company>XP-2010</Company>
  <LinksUpToDate>false</LinksUpToDate>
  <CharactersWithSpaces>28216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cp:revision>
  <dcterms:created xsi:type="dcterms:W3CDTF">2013-05-16T01:58:00Z</dcterms:created>
  <dcterms:modified xsi:type="dcterms:W3CDTF">2013-05-16T02:00:00Z</dcterms:modified>
</cp:coreProperties>
</file>