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Layout w:type="fixed"/>
        <w:tblLook w:val="0000" w:firstRow="0" w:lastRow="0" w:firstColumn="0" w:lastColumn="0" w:noHBand="0" w:noVBand="0"/>
      </w:tblPr>
      <w:tblGrid>
        <w:gridCol w:w="3119"/>
        <w:gridCol w:w="5953"/>
      </w:tblGrid>
      <w:tr w:rsidR="002A29D1" w14:paraId="7B78ABE6" w14:textId="77777777" w:rsidTr="00F139A4">
        <w:trPr>
          <w:trHeight w:val="1134"/>
        </w:trPr>
        <w:tc>
          <w:tcPr>
            <w:tcW w:w="3119" w:type="dxa"/>
          </w:tcPr>
          <w:p w14:paraId="12C5C9F2" w14:textId="271ED51E" w:rsidR="002A29D1" w:rsidRPr="00591F77" w:rsidRDefault="002A29D1" w:rsidP="00F139A4">
            <w:pPr>
              <w:spacing w:before="120" w:after="120"/>
              <w:jc w:val="center"/>
              <w:rPr>
                <w:sz w:val="26"/>
                <w:szCs w:val="26"/>
              </w:rPr>
            </w:pPr>
            <w:bookmarkStart w:id="0" w:name="_GoBack"/>
            <w:bookmarkEnd w:id="0"/>
            <w:r w:rsidRPr="00591F77">
              <w:rPr>
                <w:b/>
                <w:sz w:val="26"/>
                <w:szCs w:val="26"/>
              </w:rPr>
              <w:t>HỘI ĐỒNG NHÂN DÂN</w:t>
            </w:r>
            <w:r w:rsidRPr="00591F77">
              <w:rPr>
                <w:b/>
                <w:sz w:val="26"/>
                <w:szCs w:val="26"/>
              </w:rPr>
              <w:br/>
              <w:t xml:space="preserve">TỈNH </w:t>
            </w:r>
            <w:r>
              <w:rPr>
                <w:bCs/>
                <w:noProof/>
                <w:sz w:val="24"/>
                <w:szCs w:val="24"/>
              </w:rPr>
              <w:drawing>
                <wp:anchor distT="4294967295" distB="4294967295" distL="114300" distR="114300" simplePos="0" relativeHeight="251660288" behindDoc="0" locked="0" layoutInCell="1" allowOverlap="1" wp14:anchorId="72A5A9DF" wp14:editId="5872BB4F">
                  <wp:simplePos x="0" y="0"/>
                  <wp:positionH relativeFrom="column">
                    <wp:posOffset>610235</wp:posOffset>
                  </wp:positionH>
                  <wp:positionV relativeFrom="paragraph">
                    <wp:posOffset>521335</wp:posOffset>
                  </wp:positionV>
                  <wp:extent cx="561975" cy="9525"/>
                  <wp:effectExtent l="19050" t="0" r="9525"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srcRect/>
                          <a:stretch>
                            <a:fillRect/>
                          </a:stretch>
                        </pic:blipFill>
                        <pic:spPr bwMode="auto">
                          <a:xfrm>
                            <a:off x="0" y="0"/>
                            <a:ext cx="561975" cy="9525"/>
                          </a:xfrm>
                          <a:prstGeom prst="rect">
                            <a:avLst/>
                          </a:prstGeom>
                          <a:noFill/>
                          <a:ln w="9525">
                            <a:noFill/>
                            <a:miter lim="800000"/>
                            <a:headEnd/>
                            <a:tailEnd/>
                          </a:ln>
                        </pic:spPr>
                      </pic:pic>
                    </a:graphicData>
                  </a:graphic>
                </wp:anchor>
              </w:drawing>
            </w:r>
            <w:r w:rsidR="00CC2715">
              <w:rPr>
                <w:b/>
                <w:sz w:val="26"/>
                <w:szCs w:val="26"/>
              </w:rPr>
              <w:t>QUẢNG NGÃI</w:t>
            </w:r>
          </w:p>
        </w:tc>
        <w:tc>
          <w:tcPr>
            <w:tcW w:w="5953" w:type="dxa"/>
          </w:tcPr>
          <w:p w14:paraId="48E1048F" w14:textId="3544609F" w:rsidR="002A29D1" w:rsidRPr="00591F77" w:rsidRDefault="007F1E41" w:rsidP="00F139A4">
            <w:pPr>
              <w:spacing w:before="120"/>
              <w:jc w:val="center"/>
              <w:rPr>
                <w:sz w:val="26"/>
                <w:szCs w:val="26"/>
              </w:rPr>
            </w:pPr>
            <w:r>
              <w:rPr>
                <w:b/>
                <w:noProof/>
                <w:sz w:val="26"/>
                <w:szCs w:val="26"/>
              </w:rPr>
              <mc:AlternateContent>
                <mc:Choice Requires="wps">
                  <w:drawing>
                    <wp:anchor distT="0" distB="0" distL="114300" distR="114300" simplePos="0" relativeHeight="251665408" behindDoc="0" locked="0" layoutInCell="1" allowOverlap="1" wp14:anchorId="08FA40D6" wp14:editId="02A5FF6B">
                      <wp:simplePos x="0" y="0"/>
                      <wp:positionH relativeFrom="column">
                        <wp:posOffset>733425</wp:posOffset>
                      </wp:positionH>
                      <wp:positionV relativeFrom="paragraph">
                        <wp:posOffset>501015</wp:posOffset>
                      </wp:positionV>
                      <wp:extent cx="2183765" cy="0"/>
                      <wp:effectExtent l="9525" t="5715" r="6985" b="1333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7.75pt;margin-top:39.45pt;width:171.9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Ko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"/>
                  </w:pict>
                </mc:Fallback>
              </mc:AlternateContent>
            </w:r>
            <w:r w:rsidR="002A29D1" w:rsidRPr="00591F77">
              <w:rPr>
                <w:b/>
                <w:sz w:val="26"/>
                <w:szCs w:val="26"/>
              </w:rPr>
              <w:t>CỘNG HÒA XÃ HỘI CHỦ NGHĨA VIỆT NAM</w:t>
            </w:r>
            <w:r w:rsidR="002A29D1" w:rsidRPr="00591F77">
              <w:rPr>
                <w:b/>
                <w:sz w:val="26"/>
                <w:szCs w:val="26"/>
              </w:rPr>
              <w:br/>
            </w:r>
            <w:r w:rsidR="002A29D1" w:rsidRPr="00591F77">
              <w:rPr>
                <w:b/>
              </w:rPr>
              <w:t>Độc lập - Tự do - Hạnh phúc</w:t>
            </w:r>
            <w:r w:rsidR="002A29D1" w:rsidRPr="00591F77">
              <w:rPr>
                <w:b/>
                <w:sz w:val="26"/>
                <w:szCs w:val="26"/>
              </w:rPr>
              <w:br/>
            </w:r>
          </w:p>
        </w:tc>
      </w:tr>
      <w:tr w:rsidR="002A29D1" w14:paraId="16900B4E" w14:textId="77777777" w:rsidTr="00F139A4">
        <w:tc>
          <w:tcPr>
            <w:tcW w:w="3119" w:type="dxa"/>
          </w:tcPr>
          <w:p w14:paraId="5F67A178" w14:textId="1329E82E" w:rsidR="002A29D1" w:rsidRPr="00591F77" w:rsidRDefault="007F1E41" w:rsidP="00F139A4">
            <w:pPr>
              <w:spacing w:after="120"/>
              <w:jc w:val="center"/>
              <w:rPr>
                <w:sz w:val="26"/>
                <w:szCs w:val="26"/>
              </w:rPr>
            </w:pPr>
            <w:r>
              <w:rPr>
                <w:noProof/>
              </w:rPr>
              <mc:AlternateContent>
                <mc:Choice Requires="wps">
                  <w:drawing>
                    <wp:anchor distT="45720" distB="45720" distL="114300" distR="114300" simplePos="0" relativeHeight="251664384" behindDoc="0" locked="0" layoutInCell="1" allowOverlap="1" wp14:anchorId="31D23FA2" wp14:editId="6FB523C3">
                      <wp:simplePos x="0" y="0"/>
                      <wp:positionH relativeFrom="column">
                        <wp:posOffset>300990</wp:posOffset>
                      </wp:positionH>
                      <wp:positionV relativeFrom="paragraph">
                        <wp:posOffset>245745</wp:posOffset>
                      </wp:positionV>
                      <wp:extent cx="1229995" cy="305435"/>
                      <wp:effectExtent l="5715" t="7620" r="1206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305435"/>
                              </a:xfrm>
                              <a:prstGeom prst="rect">
                                <a:avLst/>
                              </a:prstGeom>
                              <a:solidFill>
                                <a:srgbClr val="FFFFFF"/>
                              </a:solidFill>
                              <a:ln w="9525">
                                <a:solidFill>
                                  <a:srgbClr val="000000"/>
                                </a:solidFill>
                                <a:miter lim="800000"/>
                                <a:headEnd/>
                                <a:tailEnd/>
                              </a:ln>
                            </wps:spPr>
                            <wps:txbx>
                              <w:txbxContent>
                                <w:p w14:paraId="36CA0F36" w14:textId="15DE91D4" w:rsidR="00981397" w:rsidRDefault="00981397" w:rsidP="00CC2715">
                                  <w:pPr>
                                    <w:jc w:val="center"/>
                                  </w:pPr>
                                  <w:r>
                                    <w:t>DỰ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7pt;margin-top:19.35pt;width:96.85pt;height:24.0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">
                      <v:textbox style="mso-fit-shape-to-text:t">
                        <w:txbxContent>
                          <w:p w14:paraId="36CA0F36" w14:textId="15DE91D4" w:rsidR="00981397" w:rsidRDefault="00981397" w:rsidP="00CC2715">
                            <w:pPr>
                              <w:jc w:val="center"/>
                            </w:pPr>
                            <w:r>
                              <w:t>DỰ THẢO</w:t>
                            </w:r>
                          </w:p>
                        </w:txbxContent>
                      </v:textbox>
                    </v:shape>
                  </w:pict>
                </mc:Fallback>
              </mc:AlternateContent>
            </w:r>
            <w:r w:rsidR="002A29D1" w:rsidRPr="00591F77">
              <w:rPr>
                <w:sz w:val="26"/>
                <w:szCs w:val="26"/>
              </w:rPr>
              <w:t xml:space="preserve">Số: </w:t>
            </w:r>
            <w:r w:rsidR="002A29D1" w:rsidRPr="00CC2715">
              <w:rPr>
                <w:color w:val="FFFFFF" w:themeColor="background1"/>
                <w:sz w:val="26"/>
                <w:szCs w:val="26"/>
              </w:rPr>
              <w:t>432</w:t>
            </w:r>
            <w:r w:rsidR="00F139A4">
              <w:rPr>
                <w:sz w:val="26"/>
                <w:szCs w:val="26"/>
              </w:rPr>
              <w:t>/2025</w:t>
            </w:r>
            <w:r w:rsidR="002A29D1" w:rsidRPr="00591F77">
              <w:rPr>
                <w:sz w:val="26"/>
                <w:szCs w:val="26"/>
              </w:rPr>
              <w:t>/NQ-HĐND</w:t>
            </w:r>
          </w:p>
        </w:tc>
        <w:tc>
          <w:tcPr>
            <w:tcW w:w="5953" w:type="dxa"/>
          </w:tcPr>
          <w:p w14:paraId="25AA6FCE" w14:textId="7C3912F9" w:rsidR="002A29D1" w:rsidRPr="00591F77" w:rsidRDefault="00CC2715" w:rsidP="00F139A4">
            <w:pPr>
              <w:spacing w:after="120"/>
              <w:ind w:firstLine="34"/>
              <w:jc w:val="center"/>
              <w:rPr>
                <w:sz w:val="26"/>
                <w:szCs w:val="26"/>
              </w:rPr>
            </w:pPr>
            <w:r>
              <w:rPr>
                <w:i/>
                <w:sz w:val="26"/>
                <w:szCs w:val="26"/>
              </w:rPr>
              <w:t xml:space="preserve">                     Quảng Ngãi</w:t>
            </w:r>
            <w:r w:rsidR="002A29D1" w:rsidRPr="00591F77">
              <w:rPr>
                <w:i/>
                <w:sz w:val="26"/>
                <w:szCs w:val="26"/>
              </w:rPr>
              <w:t xml:space="preserve">, ngày </w:t>
            </w:r>
            <w:r w:rsidR="002A29D1" w:rsidRPr="00CC2715">
              <w:rPr>
                <w:i/>
                <w:color w:val="FFFFFF" w:themeColor="background1"/>
                <w:sz w:val="26"/>
                <w:szCs w:val="26"/>
              </w:rPr>
              <w:t>07</w:t>
            </w:r>
            <w:r w:rsidR="002A29D1" w:rsidRPr="00591F77">
              <w:rPr>
                <w:i/>
                <w:sz w:val="26"/>
                <w:szCs w:val="26"/>
              </w:rPr>
              <w:t xml:space="preserve"> tháng </w:t>
            </w:r>
            <w:r w:rsidR="002A29D1" w:rsidRPr="00CC2715">
              <w:rPr>
                <w:i/>
                <w:color w:val="FFFFFF" w:themeColor="background1"/>
                <w:sz w:val="26"/>
                <w:szCs w:val="26"/>
              </w:rPr>
              <w:t xml:space="preserve">12 </w:t>
            </w:r>
            <w:r w:rsidR="002A29D1" w:rsidRPr="00591F77">
              <w:rPr>
                <w:i/>
                <w:sz w:val="26"/>
                <w:szCs w:val="26"/>
              </w:rPr>
              <w:t>năm 202</w:t>
            </w:r>
            <w:r>
              <w:rPr>
                <w:i/>
                <w:sz w:val="26"/>
                <w:szCs w:val="26"/>
              </w:rPr>
              <w:t>5</w:t>
            </w:r>
          </w:p>
        </w:tc>
      </w:tr>
    </w:tbl>
    <w:p w14:paraId="0EBFDD21" w14:textId="77777777" w:rsidR="00421EFE" w:rsidRPr="00744591" w:rsidRDefault="00421EFE" w:rsidP="00744591">
      <w:pPr>
        <w:rPr>
          <w:sz w:val="14"/>
          <w:szCs w:val="14"/>
        </w:rPr>
      </w:pPr>
    </w:p>
    <w:p w14:paraId="67341C4C" w14:textId="77777777" w:rsidR="00744591" w:rsidRDefault="00744591" w:rsidP="002A29D1">
      <w:pPr>
        <w:jc w:val="center"/>
        <w:rPr>
          <w:b/>
          <w:sz w:val="2"/>
          <w:szCs w:val="2"/>
        </w:rPr>
      </w:pPr>
    </w:p>
    <w:p w14:paraId="7372F136" w14:textId="77777777" w:rsidR="00744591" w:rsidRPr="00FE6629" w:rsidRDefault="00744591" w:rsidP="002A29D1">
      <w:pPr>
        <w:jc w:val="center"/>
        <w:rPr>
          <w:b/>
          <w:sz w:val="18"/>
          <w:szCs w:val="2"/>
        </w:rPr>
      </w:pPr>
    </w:p>
    <w:p w14:paraId="5FDCA71B" w14:textId="77777777" w:rsidR="00744591" w:rsidRDefault="00744591" w:rsidP="002A29D1">
      <w:pPr>
        <w:jc w:val="center"/>
        <w:rPr>
          <w:b/>
          <w:sz w:val="2"/>
          <w:szCs w:val="2"/>
        </w:rPr>
      </w:pPr>
    </w:p>
    <w:p w14:paraId="39240735" w14:textId="77777777" w:rsidR="00744591" w:rsidRDefault="00744591" w:rsidP="002A29D1">
      <w:pPr>
        <w:jc w:val="center"/>
        <w:rPr>
          <w:b/>
          <w:sz w:val="2"/>
          <w:szCs w:val="2"/>
        </w:rPr>
      </w:pPr>
    </w:p>
    <w:p w14:paraId="35C798D1" w14:textId="77777777" w:rsidR="00744591" w:rsidRDefault="00744591" w:rsidP="002A29D1">
      <w:pPr>
        <w:jc w:val="center"/>
        <w:rPr>
          <w:b/>
          <w:sz w:val="2"/>
          <w:szCs w:val="2"/>
        </w:rPr>
      </w:pPr>
    </w:p>
    <w:p w14:paraId="0366E052" w14:textId="77777777" w:rsidR="00744591" w:rsidRDefault="00744591" w:rsidP="002A29D1">
      <w:pPr>
        <w:jc w:val="center"/>
        <w:rPr>
          <w:b/>
          <w:sz w:val="2"/>
          <w:szCs w:val="2"/>
        </w:rPr>
      </w:pPr>
    </w:p>
    <w:p w14:paraId="698B181A" w14:textId="77777777" w:rsidR="00744591" w:rsidRDefault="00744591" w:rsidP="002A29D1">
      <w:pPr>
        <w:jc w:val="center"/>
        <w:rPr>
          <w:b/>
          <w:sz w:val="2"/>
          <w:szCs w:val="2"/>
        </w:rPr>
      </w:pPr>
    </w:p>
    <w:p w14:paraId="553F5F40" w14:textId="1CB8686E" w:rsidR="002A29D1" w:rsidRDefault="002A29D1" w:rsidP="002A29D1">
      <w:pPr>
        <w:jc w:val="center"/>
        <w:rPr>
          <w:sz w:val="2"/>
          <w:szCs w:val="2"/>
        </w:rPr>
      </w:pPr>
      <w:r>
        <w:rPr>
          <w:b/>
          <w:sz w:val="2"/>
          <w:szCs w:val="2"/>
        </w:rPr>
        <w:t>=</w:t>
      </w:r>
      <w:r>
        <w:rPr>
          <w:b/>
        </w:rPr>
        <w:t>NGHỊ QUYẾT</w:t>
      </w:r>
    </w:p>
    <w:p w14:paraId="4D8FE99E" w14:textId="77777777" w:rsidR="00421EFE" w:rsidRPr="00421EFE" w:rsidRDefault="00421EFE" w:rsidP="00421EFE">
      <w:pPr>
        <w:jc w:val="center"/>
        <w:rPr>
          <w:b/>
        </w:rPr>
      </w:pPr>
      <w:r w:rsidRPr="00421EFE">
        <w:rPr>
          <w:b/>
        </w:rPr>
        <w:t xml:space="preserve">Quy định mức hỗ trợ thực hiện cai nghiện ma túy </w:t>
      </w:r>
    </w:p>
    <w:p w14:paraId="639C3D17" w14:textId="4F8AABE9" w:rsidR="002A29D1" w:rsidRDefault="00421EFE" w:rsidP="00421EFE">
      <w:pPr>
        <w:spacing w:before="40" w:after="40"/>
        <w:jc w:val="center"/>
      </w:pPr>
      <w:r w:rsidRPr="00421EFE">
        <w:rPr>
          <w:b/>
        </w:rPr>
        <w:t xml:space="preserve">và quản lý sau cai nghiện ma túy trên địa bàn tỉnh Quảng Ngãi </w:t>
      </w:r>
    </w:p>
    <w:p w14:paraId="5CC1CB5F" w14:textId="13920456" w:rsidR="00421EFE" w:rsidRPr="00744591" w:rsidRDefault="00421EFE" w:rsidP="00744591">
      <w:pPr>
        <w:spacing w:line="340" w:lineRule="exact"/>
        <w:jc w:val="center"/>
        <w:rPr>
          <w:b/>
          <w:sz w:val="29"/>
          <w:szCs w:val="29"/>
        </w:rPr>
      </w:pPr>
      <w:r>
        <w:rPr>
          <w:bCs/>
          <w:noProof/>
          <w:sz w:val="24"/>
          <w:szCs w:val="24"/>
        </w:rPr>
        <w:drawing>
          <wp:anchor distT="4294967295" distB="4294967295" distL="114300" distR="114300" simplePos="0" relativeHeight="251658752" behindDoc="0" locked="0" layoutInCell="1" allowOverlap="1" wp14:anchorId="5C3FDC1A" wp14:editId="2C4F8DFC">
            <wp:simplePos x="0" y="0"/>
            <wp:positionH relativeFrom="column">
              <wp:posOffset>2460625</wp:posOffset>
            </wp:positionH>
            <wp:positionV relativeFrom="paragraph">
              <wp:posOffset>17145</wp:posOffset>
            </wp:positionV>
            <wp:extent cx="793750" cy="9525"/>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srcRect/>
                    <a:stretch>
                      <a:fillRect/>
                    </a:stretch>
                  </pic:blipFill>
                  <pic:spPr bwMode="auto">
                    <a:xfrm>
                      <a:off x="0" y="0"/>
                      <a:ext cx="793750" cy="9525"/>
                    </a:xfrm>
                    <a:prstGeom prst="rect">
                      <a:avLst/>
                    </a:prstGeom>
                    <a:noFill/>
                    <a:ln w="9525">
                      <a:noFill/>
                      <a:miter lim="800000"/>
                      <a:headEnd/>
                      <a:tailEnd/>
                    </a:ln>
                  </pic:spPr>
                </pic:pic>
              </a:graphicData>
            </a:graphic>
          </wp:anchor>
        </w:drawing>
      </w:r>
    </w:p>
    <w:p w14:paraId="71DC0CA7" w14:textId="77777777" w:rsidR="00FE6629" w:rsidRPr="00FE6629" w:rsidRDefault="00FE6629" w:rsidP="00FE6629">
      <w:pPr>
        <w:spacing w:before="160"/>
        <w:ind w:firstLine="720"/>
        <w:jc w:val="both"/>
        <w:rPr>
          <w:i/>
          <w:color w:val="000000"/>
          <w:sz w:val="14"/>
        </w:rPr>
      </w:pPr>
    </w:p>
    <w:p w14:paraId="4452A182" w14:textId="7DB5C34B" w:rsidR="00B32444" w:rsidRPr="009562DB" w:rsidRDefault="00B32444" w:rsidP="00FE6629">
      <w:pPr>
        <w:spacing w:before="160"/>
        <w:ind w:firstLine="720"/>
        <w:jc w:val="both"/>
        <w:rPr>
          <w:i/>
          <w:color w:val="000000"/>
        </w:rPr>
      </w:pPr>
      <w:r w:rsidRPr="009562DB">
        <w:rPr>
          <w:i/>
          <w:color w:val="000000"/>
        </w:rPr>
        <w:t>Căn cứ Luật Tổ chức chính quyền địa phương ngày 16 tháng 6 năm 2025;</w:t>
      </w:r>
    </w:p>
    <w:p w14:paraId="376EF775" w14:textId="0C9ED4B3" w:rsidR="002A29D1" w:rsidRPr="009562DB" w:rsidRDefault="002A29D1" w:rsidP="00FE6629">
      <w:pPr>
        <w:spacing w:before="160"/>
        <w:ind w:firstLine="720"/>
        <w:jc w:val="both"/>
        <w:rPr>
          <w:color w:val="000000"/>
        </w:rPr>
      </w:pPr>
      <w:r w:rsidRPr="009562DB">
        <w:rPr>
          <w:i/>
          <w:color w:val="000000"/>
        </w:rPr>
        <w:t>Căn cứ Luật Ngân sách nhà nước ngày 25 tháng 6 năm 2015;</w:t>
      </w:r>
    </w:p>
    <w:p w14:paraId="3718242A" w14:textId="77777777" w:rsidR="002A29D1" w:rsidRPr="009562DB" w:rsidRDefault="002A29D1" w:rsidP="00FE6629">
      <w:pPr>
        <w:shd w:val="clear" w:color="auto" w:fill="FFFFFF"/>
        <w:tabs>
          <w:tab w:val="left" w:pos="567"/>
        </w:tabs>
        <w:spacing w:before="160"/>
        <w:ind w:firstLine="720"/>
        <w:jc w:val="both"/>
      </w:pPr>
      <w:r w:rsidRPr="009562DB">
        <w:rPr>
          <w:i/>
        </w:rPr>
        <w:t>Căn cứ Luật Phòng, chống ma túy ngày 30 tháng 3 năm 2021;</w:t>
      </w:r>
    </w:p>
    <w:p w14:paraId="34301EDF" w14:textId="77777777" w:rsidR="002A29D1" w:rsidRPr="009562DB" w:rsidRDefault="002A29D1" w:rsidP="00FE6629">
      <w:pPr>
        <w:shd w:val="clear" w:color="auto" w:fill="FFFFFF"/>
        <w:tabs>
          <w:tab w:val="left" w:pos="567"/>
        </w:tabs>
        <w:spacing w:before="160"/>
        <w:ind w:firstLine="720"/>
        <w:jc w:val="both"/>
      </w:pPr>
      <w:r w:rsidRPr="009562DB">
        <w:rPr>
          <w:i/>
        </w:rPr>
        <w:t>Căn cứ Nghị định số 163/2016/NĐ-CP ngày 21 tháng 12 năm 2016 của Chính phủ quy định chi tiết thi hành một số điều của Luật Ngân sách nhà nước;</w:t>
      </w:r>
    </w:p>
    <w:p w14:paraId="351D3305" w14:textId="77777777" w:rsidR="002A29D1" w:rsidRPr="009562DB" w:rsidRDefault="002A29D1" w:rsidP="00FE6629">
      <w:pPr>
        <w:shd w:val="clear" w:color="auto" w:fill="FFFFFF"/>
        <w:tabs>
          <w:tab w:val="left" w:pos="567"/>
        </w:tabs>
        <w:spacing w:before="160"/>
        <w:ind w:firstLine="720"/>
        <w:jc w:val="both"/>
      </w:pPr>
      <w:r w:rsidRPr="009562DB">
        <w:rPr>
          <w:i/>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3C3B10C5" w14:textId="77777777" w:rsidR="002A29D1" w:rsidRPr="009562DB" w:rsidRDefault="002A29D1" w:rsidP="00FE6629">
      <w:pPr>
        <w:shd w:val="clear" w:color="auto" w:fill="FFFFFF"/>
        <w:spacing w:before="160"/>
        <w:ind w:firstLine="720"/>
        <w:jc w:val="both"/>
      </w:pPr>
      <w:r w:rsidRPr="009562DB">
        <w:rPr>
          <w:i/>
        </w:rP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14:paraId="054D8057" w14:textId="797F0355" w:rsidR="00CC2715" w:rsidRPr="009562DB" w:rsidRDefault="002A29D1" w:rsidP="00FE6629">
      <w:pPr>
        <w:spacing w:before="160"/>
        <w:ind w:firstLine="720"/>
        <w:jc w:val="both"/>
        <w:rPr>
          <w:i/>
        </w:rPr>
      </w:pPr>
      <w:r w:rsidRPr="009562DB">
        <w:rPr>
          <w:i/>
        </w:rPr>
        <w:t xml:space="preserve">Xét Tờ trình số </w:t>
      </w:r>
      <w:r w:rsidRPr="009562DB">
        <w:rPr>
          <w:i/>
          <w:color w:val="FFFFFF" w:themeColor="background1"/>
        </w:rPr>
        <w:t>176</w:t>
      </w:r>
      <w:r w:rsidRPr="009562DB">
        <w:rPr>
          <w:i/>
        </w:rPr>
        <w:t xml:space="preserve">/TTr-UBND ngày </w:t>
      </w:r>
      <w:r w:rsidRPr="009562DB">
        <w:rPr>
          <w:i/>
          <w:color w:val="FFFFFF" w:themeColor="background1"/>
        </w:rPr>
        <w:t>30</w:t>
      </w:r>
      <w:r w:rsidRPr="009562DB">
        <w:rPr>
          <w:i/>
        </w:rPr>
        <w:t xml:space="preserve"> tháng</w:t>
      </w:r>
      <w:r w:rsidRPr="009562DB">
        <w:rPr>
          <w:i/>
          <w:color w:val="FFFFFF" w:themeColor="background1"/>
        </w:rPr>
        <w:t xml:space="preserve"> 11 </w:t>
      </w:r>
      <w:r w:rsidRPr="009562DB">
        <w:rPr>
          <w:i/>
        </w:rPr>
        <w:t>năm 202</w:t>
      </w:r>
      <w:r w:rsidR="00CC2715" w:rsidRPr="009562DB">
        <w:rPr>
          <w:i/>
        </w:rPr>
        <w:t>5</w:t>
      </w:r>
      <w:r w:rsidRPr="009562DB">
        <w:rPr>
          <w:i/>
        </w:rPr>
        <w:t xml:space="preserve"> của Ủy ban nhân dân tỉnh về việc đề nghị ban hành Nghị quyết </w:t>
      </w:r>
      <w:r w:rsidR="009736B6" w:rsidRPr="009562DB">
        <w:rPr>
          <w:i/>
        </w:rPr>
        <w:t>của Hội đồng nhân dân tỉnh quy định mức hỗ trợ thực hiện cai nghiện ma túy và quản lý sau cai nghiện ma túy trên địa bàn tỉnh Quảng Ngãi</w:t>
      </w:r>
      <w:r w:rsidRPr="009562DB">
        <w:rPr>
          <w:i/>
        </w:rPr>
        <w:t xml:space="preserve">; Báo cáo thẩm tra của Ban </w:t>
      </w:r>
      <w:r w:rsidR="00CC2715" w:rsidRPr="009562DB">
        <w:rPr>
          <w:i/>
        </w:rPr>
        <w:t>Pháp chế</w:t>
      </w:r>
      <w:r w:rsidRPr="009562DB">
        <w:rPr>
          <w:i/>
        </w:rPr>
        <w:t xml:space="preserve"> Hội đồng nhân dân tỉnh; ý kiến thảo luận của đại biểu Hội đồng nhân dân tỉnh tại kỳ họp.</w:t>
      </w:r>
    </w:p>
    <w:p w14:paraId="76682163" w14:textId="2CF7921A" w:rsidR="009736B6" w:rsidRPr="009562DB" w:rsidRDefault="009736B6" w:rsidP="00FE6629">
      <w:pPr>
        <w:spacing w:before="160"/>
        <w:ind w:firstLine="720"/>
        <w:jc w:val="both"/>
        <w:rPr>
          <w:color w:val="000000"/>
        </w:rPr>
      </w:pPr>
      <w:r w:rsidRPr="009562DB">
        <w:rPr>
          <w:i/>
        </w:rPr>
        <w:t>Hội đồng nhân dân ban hành Nghị quyết quy định mức hỗ trợ thực hiện cai nghiện ma túy và quản lý sau cai nghiện ma túy trên địa bàn tỉnh Quảng Ngãi.</w:t>
      </w:r>
    </w:p>
    <w:p w14:paraId="428B35A1" w14:textId="1F63B6EA" w:rsidR="002A29D1" w:rsidRPr="009562DB" w:rsidRDefault="002A29D1" w:rsidP="00FE6629">
      <w:pPr>
        <w:pBdr>
          <w:top w:val="nil"/>
          <w:left w:val="nil"/>
          <w:bottom w:val="nil"/>
          <w:right w:val="nil"/>
          <w:between w:val="nil"/>
        </w:pBdr>
        <w:spacing w:before="160"/>
        <w:ind w:firstLine="720"/>
        <w:jc w:val="both"/>
        <w:rPr>
          <w:b/>
          <w:color w:val="000000"/>
        </w:rPr>
      </w:pPr>
      <w:r w:rsidRPr="009562DB">
        <w:rPr>
          <w:b/>
          <w:color w:val="000000"/>
        </w:rPr>
        <w:t>Điều 1. Phạm vi điều chỉnh</w:t>
      </w:r>
    </w:p>
    <w:p w14:paraId="2F142616" w14:textId="77777777" w:rsidR="00421EFE" w:rsidRPr="009562DB" w:rsidRDefault="00421EFE" w:rsidP="00FE6629">
      <w:pPr>
        <w:pBdr>
          <w:top w:val="nil"/>
          <w:left w:val="nil"/>
          <w:bottom w:val="nil"/>
          <w:right w:val="nil"/>
          <w:between w:val="nil"/>
        </w:pBdr>
        <w:spacing w:before="160"/>
        <w:ind w:firstLine="720"/>
        <w:jc w:val="both"/>
        <w:rPr>
          <w:color w:val="000000"/>
        </w:rPr>
      </w:pPr>
      <w:r w:rsidRPr="009562DB">
        <w:rPr>
          <w:color w:val="000000"/>
        </w:rPr>
        <w:t xml:space="preserve">1. Nghị quyết này quy định mức hỗ trợ thực hiện cai nghiện ma túy và quản lý sau cai nghiện ma túy trên địa bàn tỉnh Quảng Ngãi. </w:t>
      </w:r>
    </w:p>
    <w:p w14:paraId="23DF8B2E" w14:textId="3305F63B" w:rsidR="00421EFE" w:rsidRPr="009562DB" w:rsidRDefault="00421EFE" w:rsidP="00FE6629">
      <w:pPr>
        <w:pBdr>
          <w:top w:val="nil"/>
          <w:left w:val="nil"/>
          <w:bottom w:val="nil"/>
          <w:right w:val="nil"/>
          <w:between w:val="nil"/>
        </w:pBdr>
        <w:spacing w:before="160"/>
        <w:ind w:firstLine="720"/>
        <w:jc w:val="both"/>
        <w:rPr>
          <w:color w:val="000000"/>
        </w:rPr>
      </w:pPr>
      <w:r w:rsidRPr="009562DB">
        <w:rPr>
          <w:color w:val="000000"/>
        </w:rPr>
        <w:t>2. Các nội dung khác không được quy định tại Nghị quyết này thì thực hiện theo quy định của pháp luật hiện hành.</w:t>
      </w:r>
    </w:p>
    <w:p w14:paraId="283D7C9D" w14:textId="42CB953D" w:rsidR="00421EFE" w:rsidRPr="009562DB" w:rsidRDefault="00421EFE" w:rsidP="00FE6629">
      <w:pPr>
        <w:pBdr>
          <w:top w:val="nil"/>
          <w:left w:val="nil"/>
          <w:bottom w:val="nil"/>
          <w:right w:val="nil"/>
          <w:between w:val="nil"/>
        </w:pBdr>
        <w:spacing w:before="160"/>
        <w:ind w:firstLine="720"/>
        <w:jc w:val="both"/>
        <w:rPr>
          <w:b/>
          <w:color w:val="000000"/>
        </w:rPr>
      </w:pPr>
      <w:r w:rsidRPr="009562DB">
        <w:rPr>
          <w:b/>
          <w:color w:val="000000"/>
        </w:rPr>
        <w:lastRenderedPageBreak/>
        <w:t>Điều 2. Đối tượng áp dụng</w:t>
      </w:r>
    </w:p>
    <w:p w14:paraId="51AD1651" w14:textId="77777777" w:rsidR="00421EFE" w:rsidRPr="009562DB" w:rsidRDefault="00421EFE" w:rsidP="00FE6629">
      <w:pPr>
        <w:pBdr>
          <w:top w:val="nil"/>
          <w:left w:val="nil"/>
          <w:bottom w:val="nil"/>
          <w:right w:val="nil"/>
          <w:between w:val="nil"/>
        </w:pBdr>
        <w:spacing w:before="160"/>
        <w:ind w:firstLine="720"/>
        <w:jc w:val="both"/>
        <w:rPr>
          <w:color w:val="000000"/>
        </w:rPr>
      </w:pPr>
      <w:r w:rsidRPr="009562DB">
        <w:rPr>
          <w:color w:val="000000"/>
        </w:rPr>
        <w:t xml:space="preserve">1. Người cai nghiện ma túy bị áp dụng biện pháp đưa vào cơ sở cai nghiện ma túy bắt buộc trong thời gian cai nghiện tại cơ sở cai nghiện ma túy bắt buộc trên địa bàn tỉnh Quảng Ngãi. </w:t>
      </w:r>
    </w:p>
    <w:p w14:paraId="783DFA70" w14:textId="77777777" w:rsidR="00421EFE" w:rsidRPr="009562DB" w:rsidRDefault="00421EFE" w:rsidP="00FE6629">
      <w:pPr>
        <w:pBdr>
          <w:top w:val="nil"/>
          <w:left w:val="nil"/>
          <w:bottom w:val="nil"/>
          <w:right w:val="nil"/>
          <w:between w:val="nil"/>
        </w:pBdr>
        <w:spacing w:before="160"/>
        <w:ind w:firstLine="720"/>
        <w:jc w:val="both"/>
        <w:rPr>
          <w:color w:val="000000"/>
        </w:rPr>
      </w:pPr>
      <w:r w:rsidRPr="009562DB">
        <w:rPr>
          <w:color w:val="000000"/>
        </w:rPr>
        <w:t xml:space="preserve">2. Người cai nghiện ma túy tự nguyện tại cơ sở cai nghiện ma túy công lập trên địa bàn tỉnh Quảng Ngãi. </w:t>
      </w:r>
    </w:p>
    <w:p w14:paraId="7CBD92CB" w14:textId="77777777" w:rsidR="00421EFE" w:rsidRPr="009562DB" w:rsidRDefault="00421EFE" w:rsidP="00FE6629">
      <w:pPr>
        <w:pBdr>
          <w:top w:val="nil"/>
          <w:left w:val="nil"/>
          <w:bottom w:val="nil"/>
          <w:right w:val="nil"/>
          <w:between w:val="nil"/>
        </w:pBdr>
        <w:spacing w:before="160"/>
        <w:ind w:firstLine="720"/>
        <w:jc w:val="both"/>
        <w:rPr>
          <w:color w:val="000000"/>
        </w:rPr>
      </w:pPr>
      <w:r w:rsidRPr="009562DB">
        <w:rPr>
          <w:color w:val="000000"/>
        </w:rPr>
        <w:t xml:space="preserve">3. Người được giao nhiệm vụ tư vấn tâm lý, xã hội, quản lý, hỗ trợ người cai nghiện tự nguyện tại gia đình, cộng đồng trên địa bàn tỉnh Quảng Ngãi. </w:t>
      </w:r>
    </w:p>
    <w:p w14:paraId="0FB57C8C" w14:textId="77777777" w:rsidR="00421EFE" w:rsidRPr="009562DB" w:rsidRDefault="00421EFE" w:rsidP="00FE6629">
      <w:pPr>
        <w:pBdr>
          <w:top w:val="nil"/>
          <w:left w:val="nil"/>
          <w:bottom w:val="nil"/>
          <w:right w:val="nil"/>
          <w:between w:val="nil"/>
        </w:pBdr>
        <w:spacing w:before="160"/>
        <w:ind w:firstLine="720"/>
        <w:jc w:val="both"/>
        <w:rPr>
          <w:color w:val="000000"/>
        </w:rPr>
      </w:pPr>
      <w:r w:rsidRPr="009562DB">
        <w:rPr>
          <w:color w:val="000000"/>
        </w:rPr>
        <w:t xml:space="preserve">4. Người được giao nhiệm vụ tư vấn tâm lý, xã hội, quản lý, hỗ trợ người bị quản lý sau cai nghiện ma túy tại cấp xã trên địa bàn tỉnh Quảng Ngãi. </w:t>
      </w:r>
    </w:p>
    <w:p w14:paraId="4077B1A5" w14:textId="015B1420" w:rsidR="00421EFE" w:rsidRPr="009562DB" w:rsidRDefault="00421EFE" w:rsidP="00FE6629">
      <w:pPr>
        <w:widowControl w:val="0"/>
        <w:spacing w:before="160"/>
        <w:ind w:firstLine="720"/>
        <w:jc w:val="both"/>
        <w:rPr>
          <w:color w:val="000000"/>
        </w:rPr>
      </w:pPr>
      <w:r w:rsidRPr="009562DB">
        <w:rPr>
          <w:color w:val="000000"/>
        </w:rPr>
        <w:t xml:space="preserve">5. </w:t>
      </w:r>
      <w:bookmarkStart w:id="1" w:name="_Hlk210285856"/>
      <w:r w:rsidR="000972BC" w:rsidRPr="009562DB">
        <w:rPr>
          <w:lang w:val="nl-NL"/>
        </w:rPr>
        <w:t xml:space="preserve">Sĩ quan, hạ sĩ quan, chiến sĩ nghĩa vụ, công nhân công an, lao động </w:t>
      </w:r>
      <w:r w:rsidR="00F139A4" w:rsidRPr="009562DB">
        <w:rPr>
          <w:lang w:val="nl-NL"/>
        </w:rPr>
        <w:t xml:space="preserve">hợp đồng </w:t>
      </w:r>
      <w:r w:rsidR="000972BC" w:rsidRPr="009562DB">
        <w:rPr>
          <w:lang w:val="nl-NL"/>
        </w:rPr>
        <w:t>làm việc tại Cơ sở cai nghiện ma túy tỉnh Quảng Ngãi.</w:t>
      </w:r>
      <w:bookmarkEnd w:id="1"/>
    </w:p>
    <w:p w14:paraId="4064B7C2" w14:textId="77777777" w:rsidR="00421EFE" w:rsidRPr="009562DB" w:rsidRDefault="00421EFE" w:rsidP="00FE6629">
      <w:pPr>
        <w:pBdr>
          <w:top w:val="nil"/>
          <w:left w:val="nil"/>
          <w:bottom w:val="nil"/>
          <w:right w:val="nil"/>
          <w:between w:val="nil"/>
        </w:pBdr>
        <w:spacing w:before="160"/>
        <w:ind w:firstLine="720"/>
        <w:jc w:val="both"/>
        <w:rPr>
          <w:color w:val="000000"/>
        </w:rPr>
      </w:pPr>
      <w:r w:rsidRPr="009562DB">
        <w:rPr>
          <w:color w:val="000000"/>
        </w:rPr>
        <w:t xml:space="preserve">6. Các cơ sở quy định tại điểm a khoản 2 Điều 2 Nghị định số 26/2016/NĐ- CP trên địa bàn tỉnh Quảng Ngãi và các cá nhân, tổ chức có liên quan đến việc thực hiện công tác cai nghiện ma túy, quản lý sau cai nghiện ma túy. </w:t>
      </w:r>
    </w:p>
    <w:p w14:paraId="6842BC4A" w14:textId="77777777" w:rsidR="00421EFE" w:rsidRPr="009562DB" w:rsidRDefault="00421EFE" w:rsidP="00FE6629">
      <w:pPr>
        <w:pBdr>
          <w:top w:val="nil"/>
          <w:left w:val="nil"/>
          <w:bottom w:val="nil"/>
          <w:right w:val="nil"/>
          <w:between w:val="nil"/>
        </w:pBdr>
        <w:spacing w:before="160"/>
        <w:ind w:firstLine="720"/>
        <w:jc w:val="both"/>
        <w:rPr>
          <w:b/>
          <w:color w:val="000000"/>
        </w:rPr>
      </w:pPr>
      <w:r w:rsidRPr="009562DB">
        <w:rPr>
          <w:b/>
          <w:color w:val="000000"/>
        </w:rPr>
        <w:t xml:space="preserve">Điều 3. Hỗ trợ thực hiện cai nghiện ma túy và quản lý sau cai nghiện ma túy </w:t>
      </w:r>
    </w:p>
    <w:p w14:paraId="633E62B5" w14:textId="77777777" w:rsidR="00421EFE" w:rsidRPr="009562DB" w:rsidRDefault="00421EFE" w:rsidP="00FE6629">
      <w:pPr>
        <w:pBdr>
          <w:top w:val="nil"/>
          <w:left w:val="nil"/>
          <w:bottom w:val="nil"/>
          <w:right w:val="nil"/>
          <w:between w:val="nil"/>
        </w:pBdr>
        <w:spacing w:before="160"/>
        <w:ind w:firstLine="720"/>
        <w:jc w:val="both"/>
        <w:rPr>
          <w:bCs/>
          <w:color w:val="000000"/>
        </w:rPr>
      </w:pPr>
      <w:r w:rsidRPr="009562DB">
        <w:rPr>
          <w:bCs/>
          <w:color w:val="000000"/>
        </w:rPr>
        <w:t xml:space="preserve">1. Hỗ trợ đối với người cai nghiện bị áp dụng biện pháp đưa vào cơ sở cai nghiện ma túy bắt buộc trong thời gian cai nghiện tại cơ sở cai nghiện ma túy bắt buộc trên địa bàn tỉnh Quảng Ngãi. </w:t>
      </w:r>
    </w:p>
    <w:p w14:paraId="6B5DB54F" w14:textId="77777777" w:rsidR="00421EFE" w:rsidRPr="009562DB" w:rsidRDefault="00421EFE" w:rsidP="00FE6629">
      <w:pPr>
        <w:pBdr>
          <w:top w:val="nil"/>
          <w:left w:val="nil"/>
          <w:bottom w:val="nil"/>
          <w:right w:val="nil"/>
          <w:between w:val="nil"/>
        </w:pBdr>
        <w:spacing w:before="160"/>
        <w:ind w:firstLine="720"/>
        <w:jc w:val="both"/>
        <w:rPr>
          <w:bCs/>
          <w:color w:val="000000"/>
        </w:rPr>
      </w:pPr>
      <w:r w:rsidRPr="009562DB">
        <w:rPr>
          <w:bCs/>
          <w:color w:val="000000"/>
        </w:rPr>
        <w:t xml:space="preserve">a) Định mức hỗ trợ tiền ăn của người cai nghiện ma túy là 67.000 đồng/ngày. Ngày lễ, Tết dương lịch người cai nghiện được ăn thêm bằng 03 lần tiêu chuẩn ngày thường; các ngày Tết nguyên đán người cai nghiện được ăn thêm bằng 05 lần tiêu chuẩn ngày thường; chế độ ăn đối với người cai nghiện bị ốm là 03 lần tiêu chuẩn ngày thường. </w:t>
      </w:r>
    </w:p>
    <w:p w14:paraId="050185B3" w14:textId="77777777" w:rsidR="00421EFE" w:rsidRPr="009562DB" w:rsidRDefault="00421EFE" w:rsidP="00FE6629">
      <w:pPr>
        <w:pBdr>
          <w:top w:val="nil"/>
          <w:left w:val="nil"/>
          <w:bottom w:val="nil"/>
          <w:right w:val="nil"/>
          <w:between w:val="nil"/>
        </w:pBdr>
        <w:spacing w:before="160"/>
        <w:ind w:firstLine="720"/>
        <w:jc w:val="both"/>
        <w:rPr>
          <w:bCs/>
          <w:color w:val="000000"/>
        </w:rPr>
      </w:pPr>
      <w:r w:rsidRPr="009562DB">
        <w:rPr>
          <w:bCs/>
          <w:color w:val="000000"/>
        </w:rPr>
        <w:t xml:space="preserve">b) Định mức hỗ trợ tiền chăn, màn, chiếu, gối, quần áo, đồ dùng sinh hoạt cá nhân của người cai nghiện bắt buộc là 2.106.000 đồng/năm. </w:t>
      </w:r>
    </w:p>
    <w:p w14:paraId="1CBCD8D1" w14:textId="77777777" w:rsidR="00421EFE" w:rsidRPr="009562DB" w:rsidRDefault="00421EFE" w:rsidP="00FE6629">
      <w:pPr>
        <w:pBdr>
          <w:top w:val="nil"/>
          <w:left w:val="nil"/>
          <w:bottom w:val="nil"/>
          <w:right w:val="nil"/>
          <w:between w:val="nil"/>
        </w:pBdr>
        <w:spacing w:before="160"/>
        <w:ind w:firstLine="720"/>
        <w:jc w:val="both"/>
        <w:rPr>
          <w:bCs/>
          <w:color w:val="000000"/>
        </w:rPr>
      </w:pPr>
      <w:r w:rsidRPr="009562DB">
        <w:rPr>
          <w:bCs/>
          <w:color w:val="000000"/>
        </w:rPr>
        <w:t xml:space="preserve">c) Người cai nghiện bắt buộc khi chấp hành xong quyết định trở về địa phương nơi cư trú được cấp 01 (một) bộ quần áo mùa hè hoặc 01 (một) bộ quần áo mùa đông (nếu họ không có), mức hỗ trợ không quá 400.000 đồng/bộ/người; mức hỗ trợ tiền ăn khi đi đường là 80.000 đồng/người/ngày. </w:t>
      </w:r>
    </w:p>
    <w:p w14:paraId="13D689D8" w14:textId="77777777" w:rsidR="00421EFE" w:rsidRPr="009562DB" w:rsidRDefault="00421EFE" w:rsidP="00FE6629">
      <w:pPr>
        <w:pBdr>
          <w:top w:val="nil"/>
          <w:left w:val="nil"/>
          <w:bottom w:val="nil"/>
          <w:right w:val="nil"/>
          <w:between w:val="nil"/>
        </w:pBdr>
        <w:spacing w:before="160"/>
        <w:ind w:firstLine="720"/>
        <w:jc w:val="both"/>
        <w:rPr>
          <w:bCs/>
          <w:color w:val="000000"/>
        </w:rPr>
      </w:pPr>
      <w:r w:rsidRPr="009562DB">
        <w:rPr>
          <w:bCs/>
          <w:color w:val="000000"/>
        </w:rPr>
        <w:t xml:space="preserve">2. Hỗ trợ đối với người cai nghiện ma túy tự nguyện tại cơ sở cai nghiện ma túy công lập trên địa bàn tỉnh Quảng Ngãi </w:t>
      </w:r>
    </w:p>
    <w:p w14:paraId="2872D4A0" w14:textId="77777777" w:rsidR="00421EFE" w:rsidRPr="009562DB" w:rsidRDefault="00421EFE" w:rsidP="00FE6629">
      <w:pPr>
        <w:pBdr>
          <w:top w:val="nil"/>
          <w:left w:val="nil"/>
          <w:bottom w:val="nil"/>
          <w:right w:val="nil"/>
          <w:between w:val="nil"/>
        </w:pBdr>
        <w:spacing w:before="160"/>
        <w:ind w:firstLine="720"/>
        <w:jc w:val="both"/>
        <w:rPr>
          <w:bCs/>
          <w:color w:val="000000"/>
        </w:rPr>
      </w:pPr>
      <w:r w:rsidRPr="009562DB">
        <w:rPr>
          <w:bCs/>
          <w:color w:val="000000"/>
        </w:rPr>
        <w:t xml:space="preserve">a) Mức hỗ trợ tiền ăn; tiền chăn, màn, chiếu, gối, quần áo, đồ dùng sinh hoạt cá nhân đối với người cai nghiện tự nguyện tại cơ sở cai nghiện ma túy công lập bằng 70% định mức hỗ trợ đối với người nghiện ma túy bị áp dụng </w:t>
      </w:r>
      <w:r w:rsidRPr="009562DB">
        <w:rPr>
          <w:bCs/>
          <w:color w:val="000000"/>
        </w:rPr>
        <w:lastRenderedPageBreak/>
        <w:t xml:space="preserve">biện pháp xử lý hành chính đưa vào cơ sở cai nghiện bắt buộc của địa phương được quy định tại điểm a và điểm b khoản 1 Điều này. </w:t>
      </w:r>
    </w:p>
    <w:p w14:paraId="5853B798" w14:textId="77777777" w:rsidR="00421EFE" w:rsidRPr="009562DB" w:rsidRDefault="00421EFE" w:rsidP="00FE6629">
      <w:pPr>
        <w:pBdr>
          <w:top w:val="nil"/>
          <w:left w:val="nil"/>
          <w:bottom w:val="nil"/>
          <w:right w:val="nil"/>
          <w:between w:val="nil"/>
        </w:pBdr>
        <w:spacing w:before="160"/>
        <w:ind w:firstLine="720"/>
        <w:jc w:val="both"/>
        <w:rPr>
          <w:bCs/>
          <w:color w:val="000000"/>
        </w:rPr>
      </w:pPr>
      <w:r w:rsidRPr="009562DB">
        <w:rPr>
          <w:bCs/>
          <w:color w:val="000000"/>
        </w:rPr>
        <w:t xml:space="preserve">b) Hỗ trợ 100% chỗ ở cho người nghiện ma túy tham gia cai nghiện ma túy tự nguyện tại cơ sở cai nghiện ma túy công lập. </w:t>
      </w:r>
    </w:p>
    <w:p w14:paraId="0B5929EA" w14:textId="2C7C44D2" w:rsidR="009629E9" w:rsidRPr="009562DB" w:rsidRDefault="00981397" w:rsidP="00FE6629">
      <w:pPr>
        <w:pBdr>
          <w:top w:val="nil"/>
          <w:left w:val="nil"/>
          <w:bottom w:val="nil"/>
          <w:right w:val="nil"/>
          <w:between w:val="nil"/>
        </w:pBdr>
        <w:spacing w:before="160"/>
        <w:ind w:firstLine="720"/>
        <w:jc w:val="both"/>
        <w:rPr>
          <w:bCs/>
          <w:color w:val="000000"/>
        </w:rPr>
      </w:pPr>
      <w:r w:rsidRPr="009562DB">
        <w:rPr>
          <w:bCs/>
          <w:color w:val="000000"/>
        </w:rPr>
        <w:t>3. Mức thù lao</w:t>
      </w:r>
      <w:r w:rsidR="00421EFE" w:rsidRPr="009562DB">
        <w:rPr>
          <w:bCs/>
          <w:color w:val="000000"/>
        </w:rPr>
        <w:t xml:space="preserve"> người được giao nhiệm vụ tư vấn tâm lý, xã hội, quản lý, hỗ trợ người bị quản lý sau cai nghiện ma túy tại cấp xã theo phân công của Chủ tịch Ủy ban nhân dân cấp xã là </w:t>
      </w:r>
      <w:r w:rsidR="00792309" w:rsidRPr="009562DB">
        <w:rPr>
          <w:bCs/>
          <w:color w:val="000000"/>
        </w:rPr>
        <w:t>1.400</w:t>
      </w:r>
      <w:r w:rsidR="00421EFE" w:rsidRPr="009562DB">
        <w:rPr>
          <w:bCs/>
          <w:color w:val="000000"/>
        </w:rPr>
        <w:t xml:space="preserve">.000 đồng/người/tháng. </w:t>
      </w:r>
      <w:r w:rsidR="009629E9">
        <w:rPr>
          <w:bCs/>
          <w:color w:val="000000"/>
        </w:rPr>
        <w:t xml:space="preserve">Trường hợp </w:t>
      </w:r>
      <w:r w:rsidR="009629E9" w:rsidRPr="009629E9">
        <w:rPr>
          <w:bCs/>
          <w:color w:val="000000"/>
        </w:rPr>
        <w:t>tư vấn tâm lý, xã hội, quản lý, hỗ trợ từ 02 người trở lên được hỗ trợ 100.000 đồng/người đối với 01 người bị quản lý sau cai nghiện ma túy tại cấp xã tăng thêm nhưng số tiền hỗ trợ tăng thêm không quá 400.000 đồng/người</w:t>
      </w:r>
      <w:r w:rsidR="009629E9">
        <w:rPr>
          <w:bCs/>
          <w:color w:val="000000"/>
        </w:rPr>
        <w:t>/tháng</w:t>
      </w:r>
      <w:r w:rsidR="009629E9" w:rsidRPr="009629E9">
        <w:rPr>
          <w:bCs/>
          <w:color w:val="000000"/>
        </w:rPr>
        <w:t>.</w:t>
      </w:r>
    </w:p>
    <w:p w14:paraId="01867025" w14:textId="2035BD2B" w:rsidR="00981397" w:rsidRPr="009562DB" w:rsidRDefault="00421EFE" w:rsidP="00FE6629">
      <w:pPr>
        <w:pBdr>
          <w:top w:val="nil"/>
          <w:left w:val="nil"/>
          <w:bottom w:val="nil"/>
          <w:right w:val="nil"/>
          <w:between w:val="nil"/>
        </w:pBdr>
        <w:spacing w:before="160"/>
        <w:ind w:firstLine="720"/>
        <w:jc w:val="both"/>
        <w:rPr>
          <w:bCs/>
          <w:color w:val="000000"/>
        </w:rPr>
      </w:pPr>
      <w:r w:rsidRPr="009562DB">
        <w:rPr>
          <w:bCs/>
          <w:color w:val="000000"/>
        </w:rPr>
        <w:t xml:space="preserve">4. Mức thù lao hằng tháng đối với người được giao nhiệm vụ tư vấn tâm lý, xã hội, quản lý, hỗ trợ người cai nghiện tự nguyện tại gia đình, cộng đồng theo phân công của Chủ tịch Ủy ban nhân dân cấp xã là </w:t>
      </w:r>
      <w:r w:rsidR="00792309" w:rsidRPr="009562DB">
        <w:rPr>
          <w:bCs/>
          <w:color w:val="000000"/>
        </w:rPr>
        <w:t>1.400.000</w:t>
      </w:r>
      <w:r w:rsidRPr="009562DB">
        <w:rPr>
          <w:bCs/>
          <w:color w:val="000000"/>
        </w:rPr>
        <w:t xml:space="preserve"> đồng/người.</w:t>
      </w:r>
      <w:r w:rsidR="009629E9">
        <w:rPr>
          <w:bCs/>
          <w:color w:val="000000"/>
        </w:rPr>
        <w:t xml:space="preserve"> T</w:t>
      </w:r>
      <w:r w:rsidR="009629E9" w:rsidRPr="009629E9">
        <w:rPr>
          <w:bCs/>
          <w:color w:val="000000"/>
        </w:rPr>
        <w:t>rường hợp tư vấn tâm lý, xã hội, quản lý, hỗ trợ người cai nghiện tự nguyện tại gia đình, cộng đồng từ 02 người trở lên được hỗ trợ 100.000 đồng/người đối với 01 người bị quản lý sau cai nghiện tự nguyện tại gia đình, cộng đồng tại cấp xã tăng thêm nhưng số tiền hỗ trợ tăng thêm không quá 400.000 đồng/người</w:t>
      </w:r>
      <w:r w:rsidR="009629E9">
        <w:rPr>
          <w:bCs/>
          <w:color w:val="000000"/>
        </w:rPr>
        <w:t>/tháng</w:t>
      </w:r>
      <w:r w:rsidR="009629E9" w:rsidRPr="009629E9">
        <w:rPr>
          <w:bCs/>
          <w:color w:val="000000"/>
        </w:rPr>
        <w:t>.</w:t>
      </w:r>
      <w:r w:rsidRPr="009562DB">
        <w:rPr>
          <w:bCs/>
          <w:color w:val="000000"/>
        </w:rPr>
        <w:t xml:space="preserve"> </w:t>
      </w:r>
    </w:p>
    <w:p w14:paraId="145713D5" w14:textId="12D97F3D" w:rsidR="00421EFE" w:rsidRPr="009562DB" w:rsidRDefault="00421EFE" w:rsidP="00FE6629">
      <w:pPr>
        <w:pBdr>
          <w:top w:val="nil"/>
          <w:left w:val="nil"/>
          <w:bottom w:val="nil"/>
          <w:right w:val="nil"/>
          <w:between w:val="nil"/>
        </w:pBdr>
        <w:spacing w:before="160"/>
        <w:ind w:firstLine="720"/>
        <w:jc w:val="both"/>
        <w:rPr>
          <w:bCs/>
          <w:color w:val="000000"/>
        </w:rPr>
      </w:pPr>
      <w:r w:rsidRPr="009562DB">
        <w:rPr>
          <w:bCs/>
          <w:color w:val="000000"/>
        </w:rPr>
        <w:t xml:space="preserve">5. </w:t>
      </w:r>
      <w:r w:rsidR="008E2DB2" w:rsidRPr="009562DB">
        <w:rPr>
          <w:bCs/>
          <w:color w:val="000000"/>
        </w:rPr>
        <w:t>S</w:t>
      </w:r>
      <w:r w:rsidR="00FD0B31" w:rsidRPr="009562DB">
        <w:rPr>
          <w:bCs/>
          <w:color w:val="000000"/>
        </w:rPr>
        <w:t>ĩ quan, hạ sĩ quan, chiến sĩ nghĩa vụ, công nhân công an</w:t>
      </w:r>
      <w:r w:rsidR="008E2DB2" w:rsidRPr="009562DB">
        <w:rPr>
          <w:bCs/>
          <w:color w:val="000000"/>
        </w:rPr>
        <w:t>, lao động hợp đồng</w:t>
      </w:r>
      <w:r w:rsidR="00FD0B31" w:rsidRPr="009562DB">
        <w:rPr>
          <w:bCs/>
          <w:color w:val="000000"/>
        </w:rPr>
        <w:t xml:space="preserve"> làm việc tại các Cơ sở cai nghiện ma túy tỉnh Quảng Ngãi được hưởng trợ cấp đặc thù bằng 1.500.000 đồng/người/tháng.</w:t>
      </w:r>
    </w:p>
    <w:p w14:paraId="6BA090F1" w14:textId="77777777" w:rsidR="00421EFE" w:rsidRPr="009562DB" w:rsidRDefault="00421EFE" w:rsidP="00FE6629">
      <w:pPr>
        <w:pBdr>
          <w:top w:val="nil"/>
          <w:left w:val="nil"/>
          <w:bottom w:val="nil"/>
          <w:right w:val="nil"/>
          <w:between w:val="nil"/>
        </w:pBdr>
        <w:spacing w:before="160"/>
        <w:ind w:firstLine="720"/>
        <w:jc w:val="both"/>
        <w:rPr>
          <w:b/>
          <w:color w:val="000000"/>
        </w:rPr>
      </w:pPr>
      <w:r w:rsidRPr="009562DB">
        <w:rPr>
          <w:b/>
          <w:color w:val="000000"/>
        </w:rPr>
        <w:t xml:space="preserve">Điều 4. Nguồn kinh phí thực hiện </w:t>
      </w:r>
    </w:p>
    <w:p w14:paraId="2E7BF83C" w14:textId="09E56118" w:rsidR="00421EFE" w:rsidRPr="009562DB" w:rsidRDefault="00421EFE" w:rsidP="00FE6629">
      <w:pPr>
        <w:pBdr>
          <w:top w:val="nil"/>
          <w:left w:val="nil"/>
          <w:bottom w:val="nil"/>
          <w:right w:val="nil"/>
          <w:between w:val="nil"/>
        </w:pBdr>
        <w:spacing w:before="160"/>
        <w:ind w:firstLine="720"/>
        <w:jc w:val="both"/>
        <w:rPr>
          <w:bCs/>
          <w:color w:val="000000"/>
        </w:rPr>
      </w:pPr>
      <w:r w:rsidRPr="009562DB">
        <w:rPr>
          <w:bCs/>
          <w:color w:val="000000"/>
        </w:rPr>
        <w:t>Ngân sách tỉnh đảm bảo cho việc thực hiện Nghị quyết này.</w:t>
      </w:r>
    </w:p>
    <w:p w14:paraId="0E8BBE4E" w14:textId="6E10BBB1" w:rsidR="00421EFE" w:rsidRPr="009562DB" w:rsidRDefault="00421EFE" w:rsidP="00FE6629">
      <w:pPr>
        <w:pBdr>
          <w:top w:val="nil"/>
          <w:left w:val="nil"/>
          <w:bottom w:val="nil"/>
          <w:right w:val="nil"/>
          <w:between w:val="nil"/>
        </w:pBdr>
        <w:spacing w:before="160"/>
        <w:ind w:firstLine="720"/>
        <w:jc w:val="both"/>
        <w:rPr>
          <w:color w:val="000000"/>
        </w:rPr>
      </w:pPr>
      <w:r w:rsidRPr="009562DB">
        <w:rPr>
          <w:b/>
          <w:color w:val="000000"/>
        </w:rPr>
        <w:t>Điều 5. Tổ chức thực hiện</w:t>
      </w:r>
    </w:p>
    <w:p w14:paraId="0A7A4DD8" w14:textId="721B3236" w:rsidR="00421EFE" w:rsidRPr="009562DB" w:rsidRDefault="00421EFE" w:rsidP="00FE6629">
      <w:pPr>
        <w:pBdr>
          <w:top w:val="nil"/>
          <w:left w:val="nil"/>
          <w:bottom w:val="nil"/>
          <w:right w:val="nil"/>
          <w:between w:val="nil"/>
        </w:pBdr>
        <w:spacing w:before="160"/>
        <w:ind w:firstLine="720"/>
        <w:jc w:val="both"/>
        <w:rPr>
          <w:bCs/>
          <w:color w:val="000000"/>
        </w:rPr>
      </w:pPr>
      <w:r w:rsidRPr="009562DB">
        <w:rPr>
          <w:bCs/>
          <w:color w:val="000000"/>
        </w:rPr>
        <w:t xml:space="preserve">1. Ủy ban nhân dân tỉnh tổ chức triển khai thực hiện Nghị quyết. </w:t>
      </w:r>
    </w:p>
    <w:p w14:paraId="1109039B" w14:textId="77777777" w:rsidR="00421EFE" w:rsidRPr="009562DB" w:rsidRDefault="00421EFE" w:rsidP="00FE6629">
      <w:pPr>
        <w:pBdr>
          <w:top w:val="nil"/>
          <w:left w:val="nil"/>
          <w:bottom w:val="nil"/>
          <w:right w:val="nil"/>
          <w:between w:val="nil"/>
        </w:pBdr>
        <w:spacing w:before="160"/>
        <w:ind w:firstLine="720"/>
        <w:jc w:val="both"/>
        <w:rPr>
          <w:bCs/>
          <w:color w:val="000000"/>
        </w:rPr>
      </w:pPr>
      <w:r w:rsidRPr="009562DB">
        <w:rPr>
          <w:bCs/>
          <w:color w:val="000000"/>
        </w:rPr>
        <w:t xml:space="preserve">2. Thường trực Hội đồng nhân dân tỉnh, các Ban của Hội đồng nhân dân tỉnh, Tổ đại biểu và đại biểu Hội đồng nhân dân tỉnh giám sát việc thực hiện Nghị quyết. </w:t>
      </w:r>
    </w:p>
    <w:p w14:paraId="21DC0443" w14:textId="0BA12D9A" w:rsidR="00421EFE" w:rsidRPr="009562DB" w:rsidRDefault="00421EFE" w:rsidP="00FE6629">
      <w:pPr>
        <w:pBdr>
          <w:top w:val="nil"/>
          <w:left w:val="nil"/>
          <w:bottom w:val="nil"/>
          <w:right w:val="nil"/>
          <w:between w:val="nil"/>
        </w:pBdr>
        <w:spacing w:before="160"/>
        <w:ind w:firstLine="720"/>
        <w:jc w:val="both"/>
        <w:rPr>
          <w:b/>
          <w:color w:val="000000"/>
        </w:rPr>
      </w:pPr>
      <w:r w:rsidRPr="009562DB">
        <w:rPr>
          <w:b/>
          <w:color w:val="000000"/>
        </w:rPr>
        <w:t xml:space="preserve">Điều 6. </w:t>
      </w:r>
      <w:r w:rsidR="009736B6" w:rsidRPr="009562DB">
        <w:rPr>
          <w:b/>
          <w:color w:val="000000"/>
        </w:rPr>
        <w:t xml:space="preserve">Điều khoản </w:t>
      </w:r>
      <w:r w:rsidRPr="009562DB">
        <w:rPr>
          <w:b/>
          <w:color w:val="000000"/>
        </w:rPr>
        <w:t xml:space="preserve">thi hành </w:t>
      </w:r>
    </w:p>
    <w:p w14:paraId="109C459A" w14:textId="3DFDB1B3" w:rsidR="00421EFE" w:rsidRPr="009562DB" w:rsidRDefault="00421EFE" w:rsidP="00FE6629">
      <w:pPr>
        <w:pBdr>
          <w:top w:val="nil"/>
          <w:left w:val="nil"/>
          <w:bottom w:val="nil"/>
          <w:right w:val="nil"/>
          <w:between w:val="nil"/>
        </w:pBdr>
        <w:spacing w:before="160"/>
        <w:ind w:firstLine="720"/>
        <w:jc w:val="both"/>
        <w:rPr>
          <w:bCs/>
          <w:color w:val="000000"/>
        </w:rPr>
      </w:pPr>
      <w:r w:rsidRPr="009562DB">
        <w:rPr>
          <w:bCs/>
          <w:color w:val="000000"/>
        </w:rPr>
        <w:t xml:space="preserve">1. </w:t>
      </w:r>
      <w:r w:rsidR="009736B6" w:rsidRPr="009562DB">
        <w:rPr>
          <w:bCs/>
          <w:color w:val="000000"/>
        </w:rPr>
        <w:t>Nghị quyết này có hiệu lực thi hành từ ngày ….. tháng ….. năm …..</w:t>
      </w:r>
    </w:p>
    <w:p w14:paraId="36022FA2" w14:textId="77777777" w:rsidR="00D17536" w:rsidRPr="009562DB" w:rsidRDefault="00421EFE" w:rsidP="00FE6629">
      <w:pPr>
        <w:pBdr>
          <w:top w:val="nil"/>
          <w:left w:val="nil"/>
          <w:bottom w:val="nil"/>
          <w:right w:val="nil"/>
          <w:between w:val="nil"/>
        </w:pBdr>
        <w:spacing w:before="160"/>
        <w:ind w:firstLine="720"/>
        <w:jc w:val="both"/>
        <w:rPr>
          <w:color w:val="000000"/>
        </w:rPr>
      </w:pPr>
      <w:r w:rsidRPr="009562DB">
        <w:rPr>
          <w:bCs/>
          <w:color w:val="000000"/>
        </w:rPr>
        <w:t>2. Nghị</w:t>
      </w:r>
      <w:r w:rsidRPr="009562DB">
        <w:rPr>
          <w:color w:val="000000"/>
        </w:rPr>
        <w:t xml:space="preserve"> quyết số 28/2024/NQ-HĐND ngày 23 tháng 07 năm 2024 của Hội đồng nhân dân tỉnh Quảng Ngãi quy định mức hỗ trợ thực hiện cai nghiện ma túy và quản lý sau cai nghiện ma túy trên địa bàn tỉnh Quảng Ngãi; Nghị quyết số 67/2023/NQ-HĐND </w:t>
      </w:r>
      <w:r w:rsidR="00D17536" w:rsidRPr="009562DB">
        <w:rPr>
          <w:color w:val="000000"/>
        </w:rPr>
        <w:t xml:space="preserve">của Hội đồng nhân dân tỉnh Kon Tum </w:t>
      </w:r>
      <w:r w:rsidRPr="009562DB">
        <w:rPr>
          <w:color w:val="000000"/>
        </w:rPr>
        <w:t>quy định mức hỗ trợ đối với người cai nghiện ma túy tại cơ sở cai nghiện công lập và cai nghiện ma túy tự nguyện tại gia đình, cộng đồng; mức chi thù lao, hỗ trợ đối với người thực hiện công tác tổ chức cai nghiện ma túy tự nguyện tại gia đình, cộng đồng và quản lý sau cai nghiện ma túy tại nơi cư trú trên địa bàn tỉnh Kon Tum</w:t>
      </w:r>
      <w:r w:rsidR="00D17536" w:rsidRPr="009562DB">
        <w:rPr>
          <w:color w:val="000000"/>
        </w:rPr>
        <w:t xml:space="preserve"> hết hiệu lực kể từ ngày Nghị quyết này có hiệu lực thi hành.</w:t>
      </w:r>
    </w:p>
    <w:p w14:paraId="1E88DB64" w14:textId="3E3A7E72" w:rsidR="00421EFE" w:rsidRDefault="009736B6" w:rsidP="00FE6629">
      <w:pPr>
        <w:pBdr>
          <w:top w:val="nil"/>
          <w:left w:val="nil"/>
          <w:bottom w:val="nil"/>
          <w:right w:val="nil"/>
          <w:between w:val="nil"/>
        </w:pBdr>
        <w:spacing w:before="160"/>
        <w:ind w:firstLine="720"/>
        <w:jc w:val="both"/>
        <w:rPr>
          <w:i/>
          <w:iCs/>
          <w:color w:val="000000"/>
        </w:rPr>
      </w:pPr>
      <w:r w:rsidRPr="009562DB">
        <w:rPr>
          <w:bCs/>
          <w:i/>
          <w:iCs/>
          <w:color w:val="000000"/>
        </w:rPr>
        <w:lastRenderedPageBreak/>
        <w:t>Nghị quyết này đã được Hội đồng nhân dân tỉnh Quảng Ngãi</w:t>
      </w:r>
      <w:r w:rsidRPr="009562DB">
        <w:rPr>
          <w:bCs/>
          <w:i/>
          <w:iCs/>
        </w:rPr>
        <w:t xml:space="preserve"> Khóa</w:t>
      </w:r>
      <w:r w:rsidRPr="009562DB">
        <w:rPr>
          <w:bCs/>
          <w:i/>
          <w:iCs/>
          <w:color w:val="000000"/>
        </w:rPr>
        <w:t xml:space="preserve"> </w:t>
      </w:r>
      <w:r w:rsidR="00D17536" w:rsidRPr="009562DB">
        <w:rPr>
          <w:bCs/>
          <w:i/>
          <w:iCs/>
          <w:color w:val="000000"/>
        </w:rPr>
        <w:t>…</w:t>
      </w:r>
      <w:r w:rsidRPr="009562DB">
        <w:rPr>
          <w:bCs/>
          <w:i/>
          <w:iCs/>
          <w:color w:val="000000"/>
        </w:rPr>
        <w:t xml:space="preserve">, Kỳ họp thứ </w:t>
      </w:r>
      <w:r w:rsidR="00D17536" w:rsidRPr="009562DB">
        <w:rPr>
          <w:bCs/>
          <w:i/>
          <w:iCs/>
          <w:color w:val="000000"/>
        </w:rPr>
        <w:t>…</w:t>
      </w:r>
      <w:r w:rsidRPr="009562DB">
        <w:rPr>
          <w:bCs/>
          <w:i/>
          <w:iCs/>
          <w:color w:val="000000"/>
        </w:rPr>
        <w:t xml:space="preserve"> thông qua ngày</w:t>
      </w:r>
      <w:r w:rsidR="00D17536" w:rsidRPr="009562DB">
        <w:rPr>
          <w:bCs/>
          <w:i/>
          <w:iCs/>
          <w:color w:val="000000"/>
        </w:rPr>
        <w:t xml:space="preserve"> … t</w:t>
      </w:r>
      <w:r w:rsidRPr="009562DB">
        <w:rPr>
          <w:bCs/>
          <w:i/>
          <w:iCs/>
          <w:color w:val="000000"/>
        </w:rPr>
        <w:t xml:space="preserve">háng </w:t>
      </w:r>
      <w:r w:rsidR="00D17536" w:rsidRPr="009562DB">
        <w:rPr>
          <w:bCs/>
          <w:i/>
          <w:iCs/>
          <w:color w:val="000000"/>
        </w:rPr>
        <w:t xml:space="preserve">… </w:t>
      </w:r>
      <w:r w:rsidRPr="009562DB">
        <w:rPr>
          <w:bCs/>
          <w:i/>
          <w:iCs/>
          <w:color w:val="000000"/>
        </w:rPr>
        <w:t>năm 2025</w:t>
      </w:r>
      <w:r w:rsidR="00421EFE" w:rsidRPr="009562DB">
        <w:rPr>
          <w:i/>
          <w:iCs/>
          <w:color w:val="000000"/>
        </w:rPr>
        <w:t>./.</w:t>
      </w:r>
    </w:p>
    <w:p w14:paraId="1513F467" w14:textId="77777777" w:rsidR="009562DB" w:rsidRPr="009562DB" w:rsidRDefault="009562DB" w:rsidP="009562DB">
      <w:pPr>
        <w:pBdr>
          <w:top w:val="nil"/>
          <w:left w:val="nil"/>
          <w:bottom w:val="nil"/>
          <w:right w:val="nil"/>
          <w:between w:val="nil"/>
        </w:pBdr>
        <w:spacing w:before="60"/>
        <w:ind w:firstLine="720"/>
        <w:jc w:val="both"/>
        <w:rPr>
          <w:i/>
          <w:iCs/>
          <w:color w:val="000000"/>
        </w:rPr>
      </w:pPr>
    </w:p>
    <w:tbl>
      <w:tblPr>
        <w:tblW w:w="9072" w:type="dxa"/>
        <w:tblInd w:w="108" w:type="dxa"/>
        <w:tblLayout w:type="fixed"/>
        <w:tblLook w:val="0000" w:firstRow="0" w:lastRow="0" w:firstColumn="0" w:lastColumn="0" w:noHBand="0" w:noVBand="0"/>
      </w:tblPr>
      <w:tblGrid>
        <w:gridCol w:w="5812"/>
        <w:gridCol w:w="3260"/>
      </w:tblGrid>
      <w:tr w:rsidR="002A29D1" w:rsidRPr="00591F77" w14:paraId="66C314B4" w14:textId="77777777" w:rsidTr="00421EFE">
        <w:tc>
          <w:tcPr>
            <w:tcW w:w="5812" w:type="dxa"/>
          </w:tcPr>
          <w:p w14:paraId="7E5836C2" w14:textId="77777777" w:rsidR="002A29D1" w:rsidRPr="00421EFE" w:rsidRDefault="00421EFE" w:rsidP="00F139A4">
            <w:pPr>
              <w:jc w:val="both"/>
              <w:rPr>
                <w:b/>
                <w:bCs/>
                <w:i/>
                <w:iCs/>
                <w:sz w:val="22"/>
                <w:szCs w:val="22"/>
              </w:rPr>
            </w:pPr>
            <w:r w:rsidRPr="00421EFE">
              <w:rPr>
                <w:b/>
                <w:bCs/>
                <w:i/>
                <w:iCs/>
                <w:sz w:val="22"/>
                <w:szCs w:val="22"/>
              </w:rPr>
              <w:t>Nơi nhận:</w:t>
            </w:r>
          </w:p>
          <w:p w14:paraId="6E3A48E6" w14:textId="77777777" w:rsidR="00421EFE" w:rsidRPr="00421EFE" w:rsidRDefault="00421EFE" w:rsidP="00421EFE">
            <w:pPr>
              <w:jc w:val="both"/>
              <w:rPr>
                <w:sz w:val="22"/>
                <w:szCs w:val="22"/>
              </w:rPr>
            </w:pPr>
            <w:r w:rsidRPr="00421EFE">
              <w:rPr>
                <w:sz w:val="22"/>
                <w:szCs w:val="22"/>
              </w:rPr>
              <w:t xml:space="preserve">- Ủy ban Thường vụ Quốc hội, Chính phủ; </w:t>
            </w:r>
          </w:p>
          <w:p w14:paraId="4D0BA0E1" w14:textId="77777777" w:rsidR="00421EFE" w:rsidRPr="00421EFE" w:rsidRDefault="00421EFE" w:rsidP="00421EFE">
            <w:pPr>
              <w:jc w:val="both"/>
              <w:rPr>
                <w:sz w:val="22"/>
                <w:szCs w:val="22"/>
              </w:rPr>
            </w:pPr>
            <w:r w:rsidRPr="00421EFE">
              <w:rPr>
                <w:sz w:val="22"/>
                <w:szCs w:val="22"/>
              </w:rPr>
              <w:t xml:space="preserve">- Các Bộ: Công an, Tài chính, LĐ - TB và XH; </w:t>
            </w:r>
          </w:p>
          <w:p w14:paraId="5227C55C" w14:textId="77777777" w:rsidR="00421EFE" w:rsidRPr="00421EFE" w:rsidRDefault="00421EFE" w:rsidP="00421EFE">
            <w:pPr>
              <w:jc w:val="both"/>
              <w:rPr>
                <w:sz w:val="22"/>
                <w:szCs w:val="22"/>
              </w:rPr>
            </w:pPr>
            <w:r w:rsidRPr="00421EFE">
              <w:rPr>
                <w:sz w:val="22"/>
                <w:szCs w:val="22"/>
              </w:rPr>
              <w:t xml:space="preserve">- Cục Pháp chế và cải cách hành chính, tư pháp - Bộ Công an; </w:t>
            </w:r>
          </w:p>
          <w:p w14:paraId="5ACB2A4B" w14:textId="7C213851" w:rsidR="00421EFE" w:rsidRPr="00421EFE" w:rsidRDefault="00421EFE" w:rsidP="00421EFE">
            <w:pPr>
              <w:jc w:val="both"/>
              <w:rPr>
                <w:sz w:val="22"/>
                <w:szCs w:val="22"/>
              </w:rPr>
            </w:pPr>
            <w:r w:rsidRPr="00421EFE">
              <w:rPr>
                <w:sz w:val="22"/>
                <w:szCs w:val="22"/>
              </w:rPr>
              <w:t xml:space="preserve">- Cục </w:t>
            </w:r>
            <w:r w:rsidR="00D17536">
              <w:rPr>
                <w:sz w:val="22"/>
                <w:szCs w:val="22"/>
              </w:rPr>
              <w:t>KTVB</w:t>
            </w:r>
            <w:r w:rsidRPr="00421EFE">
              <w:rPr>
                <w:sz w:val="22"/>
                <w:szCs w:val="22"/>
              </w:rPr>
              <w:t xml:space="preserve"> </w:t>
            </w:r>
            <w:r w:rsidR="00D17536">
              <w:rPr>
                <w:sz w:val="22"/>
                <w:szCs w:val="22"/>
              </w:rPr>
              <w:t xml:space="preserve">và QLXLVPHC </w:t>
            </w:r>
            <w:r w:rsidRPr="00421EFE">
              <w:rPr>
                <w:sz w:val="22"/>
                <w:szCs w:val="22"/>
              </w:rPr>
              <w:t xml:space="preserve">- Bộ Tư pháp; </w:t>
            </w:r>
          </w:p>
          <w:p w14:paraId="3F227136" w14:textId="6A161D08" w:rsidR="00421EFE" w:rsidRPr="00421EFE" w:rsidRDefault="00421EFE" w:rsidP="00421EFE">
            <w:pPr>
              <w:jc w:val="both"/>
              <w:rPr>
                <w:sz w:val="22"/>
                <w:szCs w:val="22"/>
              </w:rPr>
            </w:pPr>
            <w:r w:rsidRPr="00421EFE">
              <w:rPr>
                <w:sz w:val="22"/>
                <w:szCs w:val="22"/>
              </w:rPr>
              <w:t>- TTTU, TTHĐND, UBND, UBMTTQ</w:t>
            </w:r>
            <w:r w:rsidR="00D17536">
              <w:rPr>
                <w:sz w:val="22"/>
                <w:szCs w:val="22"/>
              </w:rPr>
              <w:t>VN</w:t>
            </w:r>
            <w:r w:rsidRPr="00421EFE">
              <w:rPr>
                <w:sz w:val="22"/>
                <w:szCs w:val="22"/>
              </w:rPr>
              <w:t xml:space="preserve"> tỉnh; </w:t>
            </w:r>
          </w:p>
          <w:p w14:paraId="275E0906" w14:textId="77777777" w:rsidR="00421EFE" w:rsidRPr="00421EFE" w:rsidRDefault="00421EFE" w:rsidP="00421EFE">
            <w:pPr>
              <w:jc w:val="both"/>
              <w:rPr>
                <w:sz w:val="22"/>
                <w:szCs w:val="22"/>
              </w:rPr>
            </w:pPr>
            <w:r w:rsidRPr="00421EFE">
              <w:rPr>
                <w:sz w:val="22"/>
                <w:szCs w:val="22"/>
              </w:rPr>
              <w:t xml:space="preserve">- Các cơ quan chuyên trách tham mưu, giúp việc Tỉnh ủy; </w:t>
            </w:r>
          </w:p>
          <w:p w14:paraId="5D8CEDF0" w14:textId="77777777" w:rsidR="00421EFE" w:rsidRPr="00421EFE" w:rsidRDefault="00421EFE" w:rsidP="00421EFE">
            <w:pPr>
              <w:jc w:val="both"/>
              <w:rPr>
                <w:sz w:val="22"/>
                <w:szCs w:val="22"/>
              </w:rPr>
            </w:pPr>
            <w:r w:rsidRPr="00421EFE">
              <w:rPr>
                <w:sz w:val="22"/>
                <w:szCs w:val="22"/>
              </w:rPr>
              <w:t xml:space="preserve">- Đoàn ĐBQH tỉnh; </w:t>
            </w:r>
          </w:p>
          <w:p w14:paraId="02910A53" w14:textId="77777777" w:rsidR="00421EFE" w:rsidRPr="00421EFE" w:rsidRDefault="00421EFE" w:rsidP="00421EFE">
            <w:pPr>
              <w:jc w:val="both"/>
              <w:rPr>
                <w:sz w:val="22"/>
                <w:szCs w:val="22"/>
              </w:rPr>
            </w:pPr>
            <w:r w:rsidRPr="00421EFE">
              <w:rPr>
                <w:sz w:val="22"/>
                <w:szCs w:val="22"/>
              </w:rPr>
              <w:t xml:space="preserve">- Các Ban của HĐND tỉnh; </w:t>
            </w:r>
          </w:p>
          <w:p w14:paraId="1145C87B" w14:textId="77777777" w:rsidR="00421EFE" w:rsidRPr="00421EFE" w:rsidRDefault="00421EFE" w:rsidP="00421EFE">
            <w:pPr>
              <w:jc w:val="both"/>
              <w:rPr>
                <w:sz w:val="22"/>
                <w:szCs w:val="22"/>
              </w:rPr>
            </w:pPr>
            <w:r w:rsidRPr="00421EFE">
              <w:rPr>
                <w:sz w:val="22"/>
                <w:szCs w:val="22"/>
              </w:rPr>
              <w:t xml:space="preserve">- Đại biểu HĐND tỉnh; </w:t>
            </w:r>
          </w:p>
          <w:p w14:paraId="3D28BE40" w14:textId="77777777" w:rsidR="00421EFE" w:rsidRPr="00421EFE" w:rsidRDefault="00421EFE" w:rsidP="00421EFE">
            <w:pPr>
              <w:jc w:val="both"/>
              <w:rPr>
                <w:sz w:val="22"/>
                <w:szCs w:val="22"/>
              </w:rPr>
            </w:pPr>
            <w:r w:rsidRPr="00421EFE">
              <w:rPr>
                <w:sz w:val="22"/>
                <w:szCs w:val="22"/>
              </w:rPr>
              <w:t xml:space="preserve">- Các sở, ban, ngành, hội đoàn thể tỉnh; </w:t>
            </w:r>
          </w:p>
          <w:p w14:paraId="5F176421" w14:textId="77777777" w:rsidR="00421EFE" w:rsidRPr="00421EFE" w:rsidRDefault="00421EFE" w:rsidP="00421EFE">
            <w:pPr>
              <w:jc w:val="both"/>
              <w:rPr>
                <w:sz w:val="22"/>
                <w:szCs w:val="22"/>
              </w:rPr>
            </w:pPr>
            <w:r w:rsidRPr="00421EFE">
              <w:rPr>
                <w:sz w:val="22"/>
                <w:szCs w:val="22"/>
              </w:rPr>
              <w:t xml:space="preserve">- Cơ quan Trung ương đóng trên địa bàn tỉnh; </w:t>
            </w:r>
          </w:p>
          <w:p w14:paraId="1F693FC0" w14:textId="77777777" w:rsidR="00421EFE" w:rsidRPr="00421EFE" w:rsidRDefault="00421EFE" w:rsidP="00421EFE">
            <w:pPr>
              <w:jc w:val="both"/>
              <w:rPr>
                <w:sz w:val="22"/>
                <w:szCs w:val="22"/>
              </w:rPr>
            </w:pPr>
            <w:r w:rsidRPr="00421EFE">
              <w:rPr>
                <w:sz w:val="22"/>
                <w:szCs w:val="22"/>
              </w:rPr>
              <w:t xml:space="preserve">- Văn phòng UBND tỉnh; </w:t>
            </w:r>
          </w:p>
          <w:p w14:paraId="23BF6299" w14:textId="7C9EB913" w:rsidR="00421EFE" w:rsidRPr="00421EFE" w:rsidRDefault="00421EFE" w:rsidP="00421EFE">
            <w:pPr>
              <w:jc w:val="both"/>
              <w:rPr>
                <w:sz w:val="22"/>
                <w:szCs w:val="22"/>
              </w:rPr>
            </w:pPr>
            <w:r w:rsidRPr="00421EFE">
              <w:rPr>
                <w:sz w:val="22"/>
                <w:szCs w:val="22"/>
              </w:rPr>
              <w:t xml:space="preserve">- TT HĐND, UBND các </w:t>
            </w:r>
            <w:r>
              <w:rPr>
                <w:sz w:val="22"/>
                <w:szCs w:val="22"/>
              </w:rPr>
              <w:t>xã, phường, đặc khu</w:t>
            </w:r>
            <w:r w:rsidRPr="00421EFE">
              <w:rPr>
                <w:sz w:val="22"/>
                <w:szCs w:val="22"/>
              </w:rPr>
              <w:t xml:space="preserve">; </w:t>
            </w:r>
          </w:p>
          <w:p w14:paraId="003643C1" w14:textId="6A793877" w:rsidR="00421EFE" w:rsidRPr="00421EFE" w:rsidRDefault="00421EFE" w:rsidP="00421EFE">
            <w:pPr>
              <w:jc w:val="both"/>
              <w:rPr>
                <w:sz w:val="22"/>
                <w:szCs w:val="22"/>
              </w:rPr>
            </w:pPr>
            <w:r w:rsidRPr="00421EFE">
              <w:rPr>
                <w:sz w:val="22"/>
                <w:szCs w:val="22"/>
              </w:rPr>
              <w:t xml:space="preserve">- Báo </w:t>
            </w:r>
            <w:r w:rsidR="00D34E48">
              <w:rPr>
                <w:sz w:val="22"/>
                <w:szCs w:val="22"/>
              </w:rPr>
              <w:t>và Phát thanh, truyền hình Quảng Ngãi</w:t>
            </w:r>
            <w:r w:rsidRPr="00421EFE">
              <w:rPr>
                <w:sz w:val="22"/>
                <w:szCs w:val="22"/>
              </w:rPr>
              <w:t xml:space="preserve">; </w:t>
            </w:r>
          </w:p>
          <w:p w14:paraId="3CD1F11F" w14:textId="517D43C5" w:rsidR="00421EFE" w:rsidRPr="00421EFE" w:rsidRDefault="00421EFE" w:rsidP="00421EFE">
            <w:pPr>
              <w:jc w:val="both"/>
              <w:rPr>
                <w:sz w:val="22"/>
                <w:szCs w:val="22"/>
              </w:rPr>
            </w:pPr>
            <w:r>
              <w:rPr>
                <w:sz w:val="22"/>
                <w:szCs w:val="22"/>
              </w:rPr>
              <w:t xml:space="preserve">- </w:t>
            </w:r>
            <w:r w:rsidRPr="00421EFE">
              <w:rPr>
                <w:sz w:val="22"/>
                <w:szCs w:val="22"/>
              </w:rPr>
              <w:t xml:space="preserve">Trung tâm Công báo và Tin học tỉnh; </w:t>
            </w:r>
          </w:p>
          <w:p w14:paraId="5D1BF9F8" w14:textId="77777777" w:rsidR="00421EFE" w:rsidRPr="00421EFE" w:rsidRDefault="00421EFE" w:rsidP="00421EFE">
            <w:pPr>
              <w:jc w:val="both"/>
              <w:rPr>
                <w:sz w:val="22"/>
                <w:szCs w:val="22"/>
              </w:rPr>
            </w:pPr>
            <w:r w:rsidRPr="00421EFE">
              <w:rPr>
                <w:sz w:val="22"/>
                <w:szCs w:val="22"/>
              </w:rPr>
              <w:t xml:space="preserve">- VP ĐĐBQH và HĐND tỉnh: C-PCVP, các phòng, CV; </w:t>
            </w:r>
          </w:p>
          <w:p w14:paraId="7E5BF347" w14:textId="1F6FCCD4" w:rsidR="00421EFE" w:rsidRPr="00591F77" w:rsidRDefault="00421EFE" w:rsidP="00421EFE">
            <w:pPr>
              <w:jc w:val="both"/>
              <w:rPr>
                <w:sz w:val="22"/>
                <w:szCs w:val="22"/>
              </w:rPr>
            </w:pPr>
            <w:r w:rsidRPr="00421EFE">
              <w:rPr>
                <w:sz w:val="22"/>
                <w:szCs w:val="22"/>
              </w:rPr>
              <w:t>- Luu: VT</w:t>
            </w:r>
            <w:r w:rsidR="00D34E48">
              <w:rPr>
                <w:sz w:val="22"/>
                <w:szCs w:val="22"/>
              </w:rPr>
              <w:t>…</w:t>
            </w:r>
          </w:p>
        </w:tc>
        <w:tc>
          <w:tcPr>
            <w:tcW w:w="3260" w:type="dxa"/>
          </w:tcPr>
          <w:p w14:paraId="2890E4C7" w14:textId="77777777" w:rsidR="002A29D1" w:rsidRPr="00591F77" w:rsidRDefault="002A29D1" w:rsidP="00F139A4">
            <w:pPr>
              <w:jc w:val="center"/>
            </w:pPr>
            <w:r w:rsidRPr="00591F77">
              <w:rPr>
                <w:b/>
              </w:rPr>
              <w:t>CHỦ TỊCH</w:t>
            </w:r>
          </w:p>
          <w:p w14:paraId="59A5750B" w14:textId="77777777" w:rsidR="002A29D1" w:rsidRPr="00591F77" w:rsidRDefault="002A29D1" w:rsidP="00F139A4">
            <w:pPr>
              <w:ind w:firstLine="720"/>
              <w:jc w:val="center"/>
            </w:pPr>
          </w:p>
          <w:p w14:paraId="3B87FD2A" w14:textId="77777777" w:rsidR="002A29D1" w:rsidRPr="00591F77" w:rsidRDefault="002A29D1" w:rsidP="00F139A4">
            <w:pPr>
              <w:ind w:firstLine="720"/>
              <w:jc w:val="center"/>
            </w:pPr>
          </w:p>
          <w:p w14:paraId="6B0809C0" w14:textId="77777777" w:rsidR="002A29D1" w:rsidRPr="00591F77" w:rsidRDefault="002A29D1" w:rsidP="00F139A4">
            <w:pPr>
              <w:ind w:firstLine="720"/>
              <w:jc w:val="center"/>
            </w:pPr>
          </w:p>
          <w:p w14:paraId="2E6AEE42" w14:textId="77777777" w:rsidR="002A29D1" w:rsidRPr="00591F77" w:rsidRDefault="002A29D1" w:rsidP="00F139A4">
            <w:pPr>
              <w:jc w:val="center"/>
            </w:pPr>
          </w:p>
          <w:p w14:paraId="574315D8" w14:textId="77777777" w:rsidR="002A29D1" w:rsidRPr="00591F77" w:rsidRDefault="002A29D1" w:rsidP="00F139A4">
            <w:pPr>
              <w:jc w:val="center"/>
            </w:pPr>
          </w:p>
          <w:p w14:paraId="43A9DE54" w14:textId="7871AEE7" w:rsidR="002A29D1" w:rsidRPr="00CC2715" w:rsidRDefault="002A29D1" w:rsidP="00F139A4">
            <w:pPr>
              <w:jc w:val="center"/>
              <w:rPr>
                <w:color w:val="FFFFFF" w:themeColor="background1"/>
                <w:sz w:val="26"/>
                <w:szCs w:val="26"/>
              </w:rPr>
            </w:pPr>
          </w:p>
        </w:tc>
      </w:tr>
    </w:tbl>
    <w:p w14:paraId="29E5DEEB" w14:textId="77777777" w:rsidR="00DC088C" w:rsidRDefault="00DC088C" w:rsidP="009562DB"/>
    <w:sectPr w:rsidR="00DC088C" w:rsidSect="002A29D1">
      <w:headerReference w:type="default" r:id="rId9"/>
      <w:footerReference w:type="firs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9CDC6" w14:textId="77777777" w:rsidR="00981397" w:rsidRDefault="00981397" w:rsidP="002A29D1">
      <w:r>
        <w:separator/>
      </w:r>
    </w:p>
  </w:endnote>
  <w:endnote w:type="continuationSeparator" w:id="0">
    <w:p w14:paraId="1CAEF10B" w14:textId="77777777" w:rsidR="00981397" w:rsidRDefault="00981397" w:rsidP="002A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F4755" w14:textId="58587C86" w:rsidR="00981397" w:rsidRPr="00DE5274" w:rsidRDefault="00981397">
    <w:pPr>
      <w:pStyle w:val="Footer"/>
      <w:rPr>
        <w:color w:val="FF0000"/>
        <w:sz w:val="12"/>
      </w:rPr>
    </w:pPr>
    <w:r>
      <w:rPr>
        <w:color w:val="FF0000"/>
        <w:sz w:val="12"/>
      </w:rPr>
      <w:t>MaVB: PV01.PAF-674634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0D5B8" w14:textId="77777777" w:rsidR="00981397" w:rsidRDefault="00981397" w:rsidP="002A29D1">
      <w:r>
        <w:separator/>
      </w:r>
    </w:p>
  </w:footnote>
  <w:footnote w:type="continuationSeparator" w:id="0">
    <w:p w14:paraId="53344803" w14:textId="77777777" w:rsidR="00981397" w:rsidRDefault="00981397" w:rsidP="002A2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78089"/>
      <w:docPartObj>
        <w:docPartGallery w:val="Page Numbers (Top of Page)"/>
        <w:docPartUnique/>
      </w:docPartObj>
    </w:sdtPr>
    <w:sdtEndPr/>
    <w:sdtContent>
      <w:p w14:paraId="4A620CB3" w14:textId="77777777" w:rsidR="00981397" w:rsidRDefault="00981397">
        <w:pPr>
          <w:pStyle w:val="Header"/>
          <w:jc w:val="center"/>
        </w:pPr>
        <w:r>
          <w:fldChar w:fldCharType="begin"/>
        </w:r>
        <w:r>
          <w:instrText xml:space="preserve"> PAGE   \* MERGEFORMAT </w:instrText>
        </w:r>
        <w:r>
          <w:fldChar w:fldCharType="separate"/>
        </w:r>
        <w:r w:rsidR="007F1E41">
          <w:rPr>
            <w:noProof/>
          </w:rPr>
          <w:t>4</w:t>
        </w:r>
        <w:r>
          <w:rPr>
            <w:noProof/>
          </w:rPr>
          <w:fldChar w:fldCharType="end"/>
        </w:r>
      </w:p>
    </w:sdtContent>
  </w:sdt>
  <w:p w14:paraId="2E8E117C" w14:textId="77777777" w:rsidR="00981397" w:rsidRDefault="009813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9D1"/>
    <w:rsid w:val="000638BD"/>
    <w:rsid w:val="000972BC"/>
    <w:rsid w:val="000F756F"/>
    <w:rsid w:val="0013032D"/>
    <w:rsid w:val="001F4469"/>
    <w:rsid w:val="002A29D1"/>
    <w:rsid w:val="002D7C6C"/>
    <w:rsid w:val="002E78B3"/>
    <w:rsid w:val="00361D97"/>
    <w:rsid w:val="003E0120"/>
    <w:rsid w:val="00421EFE"/>
    <w:rsid w:val="00456EAF"/>
    <w:rsid w:val="006903DA"/>
    <w:rsid w:val="00724656"/>
    <w:rsid w:val="00744591"/>
    <w:rsid w:val="00744609"/>
    <w:rsid w:val="007733B2"/>
    <w:rsid w:val="00792309"/>
    <w:rsid w:val="007C5B50"/>
    <w:rsid w:val="007F1E41"/>
    <w:rsid w:val="0082249E"/>
    <w:rsid w:val="00822D6B"/>
    <w:rsid w:val="008E2DB2"/>
    <w:rsid w:val="009562DB"/>
    <w:rsid w:val="009629E9"/>
    <w:rsid w:val="009736B6"/>
    <w:rsid w:val="00975D46"/>
    <w:rsid w:val="00981397"/>
    <w:rsid w:val="00A66C03"/>
    <w:rsid w:val="00A87AC0"/>
    <w:rsid w:val="00B13A7C"/>
    <w:rsid w:val="00B32444"/>
    <w:rsid w:val="00B7576F"/>
    <w:rsid w:val="00CC2715"/>
    <w:rsid w:val="00D17536"/>
    <w:rsid w:val="00D34E48"/>
    <w:rsid w:val="00DB0E92"/>
    <w:rsid w:val="00DC088C"/>
    <w:rsid w:val="00DE5274"/>
    <w:rsid w:val="00E060DB"/>
    <w:rsid w:val="00E425B6"/>
    <w:rsid w:val="00F139A4"/>
    <w:rsid w:val="00F14712"/>
    <w:rsid w:val="00FB4953"/>
    <w:rsid w:val="00FC20D2"/>
    <w:rsid w:val="00FD0B31"/>
    <w:rsid w:val="00FD778E"/>
    <w:rsid w:val="00FE6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2" type="connector" idref="#_x0000_s1029"/>
      </o:rules>
    </o:shapelayout>
  </w:shapeDefaults>
  <w:decimalSymbol w:val="."/>
  <w:listSeparator w:val=","/>
  <w14:docId w14:val="1CDB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9D1"/>
    <w:pPr>
      <w:spacing w:before="0" w:after="0"/>
    </w:pPr>
    <w:rPr>
      <w:rFonts w:eastAsia="Times New Roman"/>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9D1"/>
    <w:pPr>
      <w:tabs>
        <w:tab w:val="center" w:pos="4680"/>
        <w:tab w:val="right" w:pos="9360"/>
      </w:tabs>
    </w:pPr>
  </w:style>
  <w:style w:type="character" w:customStyle="1" w:styleId="HeaderChar">
    <w:name w:val="Header Char"/>
    <w:basedOn w:val="DefaultParagraphFont"/>
    <w:link w:val="Header"/>
    <w:uiPriority w:val="99"/>
    <w:rsid w:val="002A29D1"/>
    <w:rPr>
      <w:rFonts w:eastAsia="Times New Roman"/>
      <w:bCs w:val="0"/>
    </w:rPr>
  </w:style>
  <w:style w:type="paragraph" w:styleId="Footer">
    <w:name w:val="footer"/>
    <w:basedOn w:val="Normal"/>
    <w:link w:val="FooterChar"/>
    <w:uiPriority w:val="99"/>
    <w:unhideWhenUsed/>
    <w:rsid w:val="002A29D1"/>
    <w:pPr>
      <w:tabs>
        <w:tab w:val="center" w:pos="4680"/>
        <w:tab w:val="right" w:pos="9360"/>
      </w:tabs>
    </w:pPr>
  </w:style>
  <w:style w:type="character" w:customStyle="1" w:styleId="FooterChar">
    <w:name w:val="Footer Char"/>
    <w:basedOn w:val="DefaultParagraphFont"/>
    <w:link w:val="Footer"/>
    <w:uiPriority w:val="99"/>
    <w:rsid w:val="002A29D1"/>
    <w:rPr>
      <w:rFonts w:eastAsia="Times New Roman"/>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9D1"/>
    <w:pPr>
      <w:spacing w:before="0" w:after="0"/>
    </w:pPr>
    <w:rPr>
      <w:rFonts w:eastAsia="Times New Roman"/>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9D1"/>
    <w:pPr>
      <w:tabs>
        <w:tab w:val="center" w:pos="4680"/>
        <w:tab w:val="right" w:pos="9360"/>
      </w:tabs>
    </w:pPr>
  </w:style>
  <w:style w:type="character" w:customStyle="1" w:styleId="HeaderChar">
    <w:name w:val="Header Char"/>
    <w:basedOn w:val="DefaultParagraphFont"/>
    <w:link w:val="Header"/>
    <w:uiPriority w:val="99"/>
    <w:rsid w:val="002A29D1"/>
    <w:rPr>
      <w:rFonts w:eastAsia="Times New Roman"/>
      <w:bCs w:val="0"/>
    </w:rPr>
  </w:style>
  <w:style w:type="paragraph" w:styleId="Footer">
    <w:name w:val="footer"/>
    <w:basedOn w:val="Normal"/>
    <w:link w:val="FooterChar"/>
    <w:uiPriority w:val="99"/>
    <w:unhideWhenUsed/>
    <w:rsid w:val="002A29D1"/>
    <w:pPr>
      <w:tabs>
        <w:tab w:val="center" w:pos="4680"/>
        <w:tab w:val="right" w:pos="9360"/>
      </w:tabs>
    </w:pPr>
  </w:style>
  <w:style w:type="character" w:customStyle="1" w:styleId="FooterChar">
    <w:name w:val="Footer Char"/>
    <w:basedOn w:val="DefaultParagraphFont"/>
    <w:link w:val="Footer"/>
    <w:uiPriority w:val="99"/>
    <w:rsid w:val="002A29D1"/>
    <w:rPr>
      <w:rFonts w:eastAsia="Times New Roman"/>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Dao_Luyen</dc:creator>
  <cp:lastModifiedBy>phapapv01 (pv01-tmcs-m13)</cp:lastModifiedBy>
  <cp:revision>2</cp:revision>
  <cp:lastPrinted>2025-09-22T02:08:00Z</cp:lastPrinted>
  <dcterms:created xsi:type="dcterms:W3CDTF">2025-11-05T00:15:00Z</dcterms:created>
  <dcterms:modified xsi:type="dcterms:W3CDTF">2025-11-05T00:15:00Z</dcterms:modified>
</cp:coreProperties>
</file>